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C89" w:rsidRDefault="00FB6C89" w:rsidP="009809EA">
      <w:pPr>
        <w:spacing w:after="0" w:line="120" w:lineRule="auto"/>
      </w:pPr>
    </w:p>
    <w:tbl>
      <w:tblPr>
        <w:tblStyle w:val="TableGrid"/>
        <w:tblW w:w="14454" w:type="dxa"/>
        <w:tblLayout w:type="fixed"/>
        <w:tblLook w:val="04A0" w:firstRow="1" w:lastRow="0" w:firstColumn="1" w:lastColumn="0" w:noHBand="0" w:noVBand="1"/>
      </w:tblPr>
      <w:tblGrid>
        <w:gridCol w:w="2122"/>
        <w:gridCol w:w="7371"/>
        <w:gridCol w:w="2693"/>
        <w:gridCol w:w="992"/>
        <w:gridCol w:w="958"/>
        <w:gridCol w:w="318"/>
      </w:tblGrid>
      <w:tr w:rsidR="00A52CB2" w:rsidRPr="002A4897" w:rsidTr="00222298">
        <w:tc>
          <w:tcPr>
            <w:tcW w:w="2122" w:type="dxa"/>
            <w:shd w:val="clear" w:color="auto" w:fill="A6A6A6" w:themeFill="background1" w:themeFillShade="A6"/>
          </w:tcPr>
          <w:p w:rsidR="00A52CB2" w:rsidRPr="002A4897" w:rsidRDefault="00A52CB2">
            <w:pPr>
              <w:rPr>
                <w:rFonts w:ascii="Arial" w:hAnsi="Arial" w:cs="Arial"/>
                <w:b/>
              </w:rPr>
            </w:pPr>
            <w:r w:rsidRPr="002A4897">
              <w:rPr>
                <w:rFonts w:ascii="Arial" w:hAnsi="Arial" w:cs="Arial"/>
                <w:b/>
              </w:rPr>
              <w:t>Good Practice</w:t>
            </w:r>
          </w:p>
        </w:tc>
        <w:tc>
          <w:tcPr>
            <w:tcW w:w="12332" w:type="dxa"/>
            <w:gridSpan w:val="5"/>
            <w:shd w:val="clear" w:color="auto" w:fill="A6A6A6" w:themeFill="background1" w:themeFillShade="A6"/>
          </w:tcPr>
          <w:p w:rsidR="00A52CB2" w:rsidRPr="002A4897" w:rsidRDefault="00A52CB2">
            <w:pPr>
              <w:rPr>
                <w:rFonts w:ascii="Arial" w:hAnsi="Arial" w:cs="Arial"/>
                <w:b/>
              </w:rPr>
            </w:pPr>
            <w:r w:rsidRPr="002A4897">
              <w:rPr>
                <w:rFonts w:ascii="Arial" w:hAnsi="Arial" w:cs="Arial"/>
                <w:b/>
              </w:rPr>
              <w:t>Action</w:t>
            </w:r>
          </w:p>
        </w:tc>
      </w:tr>
      <w:tr w:rsidR="00A52CB2" w:rsidRPr="002A4897" w:rsidTr="00222298">
        <w:tc>
          <w:tcPr>
            <w:tcW w:w="2122" w:type="dxa"/>
          </w:tcPr>
          <w:p w:rsidR="00A52CB2" w:rsidRPr="00BC1387" w:rsidRDefault="00A52CB2" w:rsidP="00BC1387">
            <w:pPr>
              <w:pStyle w:val="Default"/>
              <w:spacing w:before="120" w:after="120"/>
              <w:rPr>
                <w:sz w:val="22"/>
                <w:szCs w:val="22"/>
              </w:rPr>
            </w:pPr>
            <w:r>
              <w:rPr>
                <w:sz w:val="22"/>
                <w:szCs w:val="22"/>
              </w:rPr>
              <w:t xml:space="preserve">The University takes an inclusive, developmental and enhancement-oriented approach to its engagement with its extensive and complex range of collaborative partner institutions (Expectation B10) </w:t>
            </w:r>
          </w:p>
        </w:tc>
        <w:tc>
          <w:tcPr>
            <w:tcW w:w="12332" w:type="dxa"/>
            <w:gridSpan w:val="5"/>
          </w:tcPr>
          <w:p w:rsidR="00A52CB2" w:rsidRDefault="00A52CB2" w:rsidP="0062119E">
            <w:pPr>
              <w:pStyle w:val="Default"/>
              <w:spacing w:before="120" w:after="120"/>
              <w:rPr>
                <w:sz w:val="22"/>
                <w:szCs w:val="22"/>
              </w:rPr>
            </w:pPr>
            <w:r>
              <w:rPr>
                <w:sz w:val="22"/>
                <w:szCs w:val="22"/>
              </w:rPr>
              <w:t>The University continues to take a proactive approach to the development of partner staff, extending its approach to enhancement to its collaborative partners and encouraging the sharing of good practice and innovation. Some examples of further developments since the review include:</w:t>
            </w:r>
          </w:p>
          <w:p w:rsidR="00A52CB2" w:rsidRPr="00A52CB2" w:rsidRDefault="00A52CB2" w:rsidP="00A52CB2">
            <w:pPr>
              <w:pStyle w:val="Default"/>
              <w:numPr>
                <w:ilvl w:val="0"/>
                <w:numId w:val="1"/>
              </w:numPr>
              <w:ind w:left="416" w:hanging="419"/>
              <w:rPr>
                <w:sz w:val="22"/>
                <w:szCs w:val="22"/>
              </w:rPr>
            </w:pPr>
            <w:r w:rsidRPr="00A52CB2">
              <w:rPr>
                <w:b/>
                <w:bCs/>
                <w:sz w:val="22"/>
                <w:szCs w:val="22"/>
              </w:rPr>
              <w:t>Link Tutor Symposium</w:t>
            </w:r>
          </w:p>
          <w:p w:rsidR="00A52CB2" w:rsidRPr="00A52CB2" w:rsidRDefault="00A52CB2" w:rsidP="00A52CB2">
            <w:pPr>
              <w:spacing w:after="120"/>
              <w:ind w:left="414"/>
              <w:rPr>
                <w:rFonts w:ascii="Arial" w:hAnsi="Arial" w:cs="Arial"/>
              </w:rPr>
            </w:pPr>
            <w:r w:rsidRPr="00A52CB2">
              <w:rPr>
                <w:rFonts w:ascii="Arial" w:hAnsi="Arial" w:cs="Arial"/>
              </w:rPr>
              <w:t>The Link Tutor Symposium, a recommendation that emerged from the recent link tutor research project endorsed by the University, is to be an annual event. The Inaugural Symposium is to be held in June 2016 and will help link tutors to critically review and reflect on their practices in order to help drive improvements and ensure standards are being safeguarded in a diverse and culturally rich collaborative context. The Symposium will also help unite link tutors and offer an opportunity to network, interact and connect with their peers. It will provide a valuable opportunity for roundtable discussions and will enable link tutors to learn from challenges and successes across the breadth of the University. Emphasis will be placed on exploring, promoting and discussing issues that emanate from the day to day practices of link tutors. The aim is also to provide on-going support and bespoke training relevant to the needs of link tutors.</w:t>
            </w:r>
          </w:p>
          <w:p w:rsidR="00A52CB2" w:rsidRPr="00A52CB2" w:rsidRDefault="00A52CB2" w:rsidP="00A52CB2">
            <w:pPr>
              <w:pStyle w:val="ListParagraph"/>
              <w:numPr>
                <w:ilvl w:val="0"/>
                <w:numId w:val="1"/>
              </w:numPr>
              <w:ind w:left="459" w:hanging="462"/>
              <w:rPr>
                <w:rFonts w:ascii="Arial" w:hAnsi="Arial" w:cs="Arial"/>
                <w:b/>
                <w:bCs/>
              </w:rPr>
            </w:pPr>
            <w:r w:rsidRPr="00A52CB2">
              <w:rPr>
                <w:rFonts w:ascii="Arial" w:hAnsi="Arial" w:cs="Arial"/>
                <w:b/>
                <w:bCs/>
              </w:rPr>
              <w:t>On-going research</w:t>
            </w:r>
            <w:r>
              <w:rPr>
                <w:rFonts w:ascii="Arial" w:hAnsi="Arial" w:cs="Arial"/>
                <w:b/>
                <w:bCs/>
              </w:rPr>
              <w:t xml:space="preserve"> on the quality enhancement of collaborative provision</w:t>
            </w:r>
          </w:p>
          <w:p w:rsidR="00A52CB2" w:rsidRDefault="00A52CB2" w:rsidP="00970866">
            <w:pPr>
              <w:spacing w:after="120"/>
              <w:ind w:left="459"/>
              <w:rPr>
                <w:rFonts w:ascii="Arial" w:hAnsi="Arial" w:cs="Arial"/>
              </w:rPr>
            </w:pPr>
            <w:r w:rsidRPr="00A52CB2">
              <w:rPr>
                <w:rFonts w:ascii="Arial" w:hAnsi="Arial" w:cs="Arial"/>
              </w:rPr>
              <w:t xml:space="preserve">Current research is being undertaken in </w:t>
            </w:r>
            <w:r>
              <w:rPr>
                <w:rFonts w:ascii="Arial" w:hAnsi="Arial" w:cs="Arial"/>
              </w:rPr>
              <w:t>the University</w:t>
            </w:r>
            <w:r w:rsidRPr="00A52CB2">
              <w:rPr>
                <w:rFonts w:ascii="Arial" w:hAnsi="Arial" w:cs="Arial"/>
              </w:rPr>
              <w:t xml:space="preserve"> on the voices and experiences of both staff and students on franchised programmes. The recommendations from this research are expected to help drive improvements in the management of our partnerships as well as enhancing the student experience.</w:t>
            </w:r>
          </w:p>
          <w:p w:rsidR="00A52CB2" w:rsidRPr="00A52CB2" w:rsidRDefault="00A52CB2" w:rsidP="00A52CB2">
            <w:pPr>
              <w:pStyle w:val="ListParagraph"/>
              <w:numPr>
                <w:ilvl w:val="0"/>
                <w:numId w:val="1"/>
              </w:numPr>
              <w:ind w:left="416" w:hanging="416"/>
              <w:rPr>
                <w:rFonts w:ascii="Arial" w:hAnsi="Arial" w:cs="Arial"/>
                <w:b/>
              </w:rPr>
            </w:pPr>
            <w:r w:rsidRPr="00A52CB2">
              <w:rPr>
                <w:rFonts w:ascii="Arial" w:hAnsi="Arial" w:cs="Arial"/>
                <w:b/>
              </w:rPr>
              <w:t>Dissemination of good practice to the UK HE sector</w:t>
            </w:r>
          </w:p>
          <w:p w:rsidR="00A52CB2" w:rsidRDefault="00A52CB2" w:rsidP="00B80A17">
            <w:pPr>
              <w:pStyle w:val="ListParagraph"/>
              <w:spacing w:after="120"/>
              <w:ind w:left="414"/>
              <w:contextualSpacing w:val="0"/>
              <w:rPr>
                <w:rFonts w:ascii="Arial" w:hAnsi="Arial" w:cs="Arial"/>
              </w:rPr>
            </w:pPr>
            <w:r>
              <w:rPr>
                <w:rFonts w:ascii="Arial" w:hAnsi="Arial" w:cs="Arial"/>
              </w:rPr>
              <w:t xml:space="preserve">University staff have recently presented at national events (organised by </w:t>
            </w:r>
            <w:r w:rsidR="00B80A17">
              <w:rPr>
                <w:rFonts w:ascii="Arial" w:hAnsi="Arial" w:cs="Arial"/>
              </w:rPr>
              <w:t>(</w:t>
            </w:r>
            <w:proofErr w:type="spellStart"/>
            <w:r w:rsidR="00B80A17">
              <w:rPr>
                <w:rFonts w:ascii="Arial" w:hAnsi="Arial" w:cs="Arial"/>
              </w:rPr>
              <w:t>i</w:t>
            </w:r>
            <w:proofErr w:type="spellEnd"/>
            <w:r w:rsidR="00B80A17">
              <w:rPr>
                <w:rFonts w:ascii="Arial" w:hAnsi="Arial" w:cs="Arial"/>
              </w:rPr>
              <w:t xml:space="preserve">) </w:t>
            </w:r>
            <w:r>
              <w:rPr>
                <w:rFonts w:ascii="Arial" w:hAnsi="Arial" w:cs="Arial"/>
              </w:rPr>
              <w:t>QAA Scotland and (ii) The Council of Validating Universities)</w:t>
            </w:r>
            <w:r w:rsidR="00B80A17">
              <w:rPr>
                <w:rFonts w:ascii="Arial" w:hAnsi="Arial" w:cs="Arial"/>
              </w:rPr>
              <w:t xml:space="preserve"> on the University’s approach to collaborative provision, with the intention of disseminating the good practice that has been identified in this review.</w:t>
            </w:r>
          </w:p>
          <w:p w:rsidR="00A52CB2" w:rsidRPr="00B80A17" w:rsidRDefault="00B80A17" w:rsidP="00B80A17">
            <w:pPr>
              <w:pStyle w:val="ListParagraph"/>
              <w:numPr>
                <w:ilvl w:val="0"/>
                <w:numId w:val="1"/>
              </w:numPr>
              <w:ind w:left="416" w:hanging="416"/>
              <w:rPr>
                <w:rFonts w:ascii="Arial" w:hAnsi="Arial" w:cs="Arial"/>
                <w:b/>
              </w:rPr>
            </w:pPr>
            <w:r w:rsidRPr="00B80A17">
              <w:rPr>
                <w:rFonts w:ascii="Arial" w:hAnsi="Arial" w:cs="Arial"/>
                <w:b/>
              </w:rPr>
              <w:t>Partner attendance at the University’s Annual Learning and Teaching Conference</w:t>
            </w:r>
          </w:p>
          <w:p w:rsidR="00B80A17" w:rsidRPr="00B80A17" w:rsidRDefault="00B80A17" w:rsidP="00B80A17">
            <w:pPr>
              <w:pStyle w:val="ListParagraph"/>
              <w:spacing w:after="120"/>
              <w:ind w:left="414"/>
              <w:contextualSpacing w:val="0"/>
              <w:rPr>
                <w:rFonts w:ascii="Arial" w:hAnsi="Arial" w:cs="Arial"/>
              </w:rPr>
            </w:pPr>
            <w:r w:rsidRPr="00B80A17">
              <w:rPr>
                <w:rFonts w:ascii="Arial" w:hAnsi="Arial" w:cs="Arial"/>
              </w:rPr>
              <w:t>Invitations to attend the University’s Annual Learning and Teaching Conference have been extended to all staff at our partner Institutions.</w:t>
            </w:r>
            <w:r>
              <w:rPr>
                <w:rFonts w:ascii="Arial" w:hAnsi="Arial" w:cs="Arial"/>
              </w:rPr>
              <w:t xml:space="preserve"> Partner staff now have the option to attend in person or online through use of Adobe Connect as a virtual classroom.</w:t>
            </w:r>
          </w:p>
        </w:tc>
      </w:tr>
      <w:tr w:rsidR="00B80A17" w:rsidRPr="002A4897" w:rsidTr="00222298">
        <w:tc>
          <w:tcPr>
            <w:tcW w:w="2122" w:type="dxa"/>
            <w:tcBorders>
              <w:bottom w:val="single" w:sz="4" w:space="0" w:color="auto"/>
            </w:tcBorders>
          </w:tcPr>
          <w:p w:rsidR="00B80A17" w:rsidRPr="00BC1387" w:rsidRDefault="00B80A17" w:rsidP="00BC1387">
            <w:pPr>
              <w:pStyle w:val="Default"/>
              <w:spacing w:before="120" w:after="120"/>
              <w:rPr>
                <w:sz w:val="22"/>
                <w:szCs w:val="22"/>
              </w:rPr>
            </w:pPr>
            <w:r>
              <w:rPr>
                <w:sz w:val="22"/>
                <w:szCs w:val="22"/>
              </w:rPr>
              <w:t xml:space="preserve">The University promotes a strong cohort identity among its research degree students, within a stimulating </w:t>
            </w:r>
            <w:r>
              <w:rPr>
                <w:sz w:val="22"/>
                <w:szCs w:val="22"/>
              </w:rPr>
              <w:lastRenderedPageBreak/>
              <w:t xml:space="preserve">and supportive learning environment (Expectation B11). </w:t>
            </w:r>
          </w:p>
        </w:tc>
        <w:tc>
          <w:tcPr>
            <w:tcW w:w="12332" w:type="dxa"/>
            <w:gridSpan w:val="5"/>
            <w:tcBorders>
              <w:bottom w:val="single" w:sz="4" w:space="0" w:color="auto"/>
            </w:tcBorders>
          </w:tcPr>
          <w:p w:rsidR="00E56D2E" w:rsidRDefault="00E56D2E" w:rsidP="00E56D2E">
            <w:pPr>
              <w:spacing w:before="120" w:after="120"/>
              <w:rPr>
                <w:rFonts w:ascii="Arial" w:hAnsi="Arial" w:cs="Arial"/>
              </w:rPr>
            </w:pPr>
            <w:r>
              <w:rPr>
                <w:rFonts w:ascii="Arial" w:hAnsi="Arial" w:cs="Arial"/>
              </w:rPr>
              <w:lastRenderedPageBreak/>
              <w:t>The Doctoral College will maintain its strategy of targeted activity enabling a cohort identity and a supportive learning environment. We will do this through:</w:t>
            </w:r>
          </w:p>
          <w:p w:rsidR="00E56D2E" w:rsidRDefault="00E56D2E" w:rsidP="00E56D2E">
            <w:pPr>
              <w:pStyle w:val="ListParagraph"/>
              <w:numPr>
                <w:ilvl w:val="0"/>
                <w:numId w:val="2"/>
              </w:numPr>
              <w:spacing w:before="120" w:after="120"/>
              <w:ind w:left="459" w:hanging="426"/>
              <w:rPr>
                <w:rFonts w:ascii="Arial" w:hAnsi="Arial" w:cs="Arial"/>
              </w:rPr>
            </w:pPr>
            <w:r>
              <w:rPr>
                <w:rFonts w:ascii="Arial" w:hAnsi="Arial" w:cs="Arial"/>
              </w:rPr>
              <w:t>Facilitating annual PGR conferences, social events and networking activities to encourage further engagement and cohort identification;</w:t>
            </w:r>
          </w:p>
          <w:p w:rsidR="00E56D2E" w:rsidRDefault="00E56D2E" w:rsidP="00E56D2E">
            <w:pPr>
              <w:pStyle w:val="ListParagraph"/>
              <w:numPr>
                <w:ilvl w:val="0"/>
                <w:numId w:val="2"/>
              </w:numPr>
              <w:spacing w:before="120" w:after="120"/>
              <w:ind w:left="459" w:hanging="426"/>
              <w:rPr>
                <w:rFonts w:ascii="Arial" w:hAnsi="Arial" w:cs="Arial"/>
              </w:rPr>
            </w:pPr>
            <w:r>
              <w:rPr>
                <w:rFonts w:ascii="Arial" w:hAnsi="Arial" w:cs="Arial"/>
              </w:rPr>
              <w:t>Participation in the QAA Postgraduate Advisory Group both to gauge and advise on best practice;</w:t>
            </w:r>
          </w:p>
          <w:p w:rsidR="00E56D2E" w:rsidRDefault="00E56D2E" w:rsidP="00E56D2E">
            <w:pPr>
              <w:pStyle w:val="ListParagraph"/>
              <w:numPr>
                <w:ilvl w:val="0"/>
                <w:numId w:val="2"/>
              </w:numPr>
              <w:spacing w:before="120" w:after="120"/>
              <w:ind w:left="459" w:hanging="426"/>
              <w:rPr>
                <w:rFonts w:ascii="Arial" w:hAnsi="Arial" w:cs="Arial"/>
              </w:rPr>
            </w:pPr>
            <w:r>
              <w:rPr>
                <w:rFonts w:ascii="Arial" w:hAnsi="Arial" w:cs="Arial"/>
              </w:rPr>
              <w:lastRenderedPageBreak/>
              <w:t>Expansion of our Researcher Development Programme to encompass more subject specific and interdisciplinary provision;</w:t>
            </w:r>
          </w:p>
          <w:p w:rsidR="00E56D2E" w:rsidRDefault="00E56D2E" w:rsidP="00E56D2E">
            <w:pPr>
              <w:pStyle w:val="ListParagraph"/>
              <w:numPr>
                <w:ilvl w:val="0"/>
                <w:numId w:val="2"/>
              </w:numPr>
              <w:spacing w:before="120" w:after="120"/>
              <w:ind w:left="459" w:hanging="426"/>
              <w:rPr>
                <w:rFonts w:ascii="Arial" w:hAnsi="Arial" w:cs="Arial"/>
              </w:rPr>
            </w:pPr>
            <w:r>
              <w:rPr>
                <w:rFonts w:ascii="Arial" w:hAnsi="Arial" w:cs="Arial"/>
              </w:rPr>
              <w:t>Maintaining and further enhancing our support for PGR teaching through the Researcher Development Programme;</w:t>
            </w:r>
          </w:p>
          <w:p w:rsidR="00E56D2E" w:rsidRDefault="00E56D2E" w:rsidP="00E56D2E">
            <w:pPr>
              <w:pStyle w:val="ListParagraph"/>
              <w:numPr>
                <w:ilvl w:val="0"/>
                <w:numId w:val="2"/>
              </w:numPr>
              <w:spacing w:before="120" w:after="120"/>
              <w:ind w:left="459" w:hanging="426"/>
              <w:rPr>
                <w:rFonts w:ascii="Arial" w:hAnsi="Arial" w:cs="Arial"/>
              </w:rPr>
            </w:pPr>
            <w:r>
              <w:rPr>
                <w:rFonts w:ascii="Arial" w:hAnsi="Arial" w:cs="Arial"/>
              </w:rPr>
              <w:t>The implementation of a new system to support both PGR students and staff in highlighting and progressing through key milestones throughout the student journey;</w:t>
            </w:r>
          </w:p>
          <w:p w:rsidR="00B80A17" w:rsidRPr="00E56D2E" w:rsidRDefault="004D4B88" w:rsidP="004D4B88">
            <w:pPr>
              <w:pStyle w:val="ListParagraph"/>
              <w:numPr>
                <w:ilvl w:val="0"/>
                <w:numId w:val="2"/>
              </w:numPr>
              <w:spacing w:before="120" w:after="120"/>
              <w:ind w:left="459" w:hanging="426"/>
              <w:rPr>
                <w:rFonts w:ascii="Arial" w:hAnsi="Arial" w:cs="Arial"/>
              </w:rPr>
            </w:pPr>
            <w:r w:rsidRPr="004D4B88">
              <w:rPr>
                <w:rFonts w:ascii="Arial" w:hAnsi="Arial" w:cs="Arial"/>
              </w:rPr>
              <w:t>C</w:t>
            </w:r>
            <w:r w:rsidR="00E56D2E" w:rsidRPr="00E56D2E">
              <w:rPr>
                <w:rFonts w:ascii="Arial" w:hAnsi="Arial" w:cs="Arial"/>
              </w:rPr>
              <w:t xml:space="preserve">ontinued participation in the Postgraduate Research </w:t>
            </w:r>
            <w:r w:rsidR="00407C5E">
              <w:rPr>
                <w:rFonts w:ascii="Arial" w:hAnsi="Arial" w:cs="Arial"/>
              </w:rPr>
              <w:t>Experience</w:t>
            </w:r>
            <w:r w:rsidR="00E56D2E" w:rsidRPr="00E56D2E">
              <w:rPr>
                <w:rFonts w:ascii="Arial" w:hAnsi="Arial" w:cs="Arial"/>
              </w:rPr>
              <w:t xml:space="preserve"> Survey </w:t>
            </w:r>
            <w:r w:rsidR="00407C5E">
              <w:rPr>
                <w:rFonts w:ascii="Arial" w:hAnsi="Arial" w:cs="Arial"/>
              </w:rPr>
              <w:t xml:space="preserve">(PRES) </w:t>
            </w:r>
            <w:r w:rsidR="00E56D2E" w:rsidRPr="00E56D2E">
              <w:rPr>
                <w:rFonts w:ascii="Arial" w:hAnsi="Arial" w:cs="Arial"/>
              </w:rPr>
              <w:t xml:space="preserve">which allows the opportunity to enhance our provision in response </w:t>
            </w:r>
            <w:bookmarkStart w:id="0" w:name="_GoBack"/>
            <w:bookmarkEnd w:id="0"/>
            <w:r w:rsidR="00E56D2E" w:rsidRPr="00E56D2E">
              <w:rPr>
                <w:rFonts w:ascii="Arial" w:hAnsi="Arial" w:cs="Arial"/>
              </w:rPr>
              <w:t>to student feedback.</w:t>
            </w:r>
          </w:p>
        </w:tc>
      </w:tr>
      <w:tr w:rsidR="002A4897" w:rsidRPr="002A4897" w:rsidTr="00222298">
        <w:tc>
          <w:tcPr>
            <w:tcW w:w="2122" w:type="dxa"/>
            <w:tcBorders>
              <w:top w:val="single" w:sz="4" w:space="0" w:color="auto"/>
              <w:left w:val="nil"/>
              <w:bottom w:val="single" w:sz="4" w:space="0" w:color="auto"/>
              <w:right w:val="nil"/>
            </w:tcBorders>
          </w:tcPr>
          <w:p w:rsidR="002A4897" w:rsidRPr="002A4897" w:rsidRDefault="002A4897">
            <w:pPr>
              <w:rPr>
                <w:rFonts w:ascii="Arial" w:hAnsi="Arial" w:cs="Arial"/>
              </w:rPr>
            </w:pPr>
          </w:p>
        </w:tc>
        <w:tc>
          <w:tcPr>
            <w:tcW w:w="10064" w:type="dxa"/>
            <w:gridSpan w:val="2"/>
            <w:tcBorders>
              <w:top w:val="single" w:sz="4" w:space="0" w:color="auto"/>
              <w:left w:val="nil"/>
              <w:bottom w:val="single" w:sz="4" w:space="0" w:color="auto"/>
              <w:right w:val="nil"/>
            </w:tcBorders>
          </w:tcPr>
          <w:p w:rsidR="002A4897" w:rsidRPr="002A4897" w:rsidRDefault="002A4897">
            <w:pPr>
              <w:rPr>
                <w:rFonts w:ascii="Arial" w:hAnsi="Arial" w:cs="Arial"/>
              </w:rPr>
            </w:pPr>
          </w:p>
        </w:tc>
        <w:tc>
          <w:tcPr>
            <w:tcW w:w="992" w:type="dxa"/>
            <w:tcBorders>
              <w:top w:val="single" w:sz="4" w:space="0" w:color="auto"/>
              <w:left w:val="nil"/>
              <w:bottom w:val="single" w:sz="4" w:space="0" w:color="auto"/>
              <w:right w:val="nil"/>
            </w:tcBorders>
          </w:tcPr>
          <w:p w:rsidR="002A4897" w:rsidRPr="002A4897" w:rsidRDefault="002A4897">
            <w:pPr>
              <w:rPr>
                <w:rFonts w:ascii="Arial" w:hAnsi="Arial" w:cs="Arial"/>
              </w:rPr>
            </w:pPr>
          </w:p>
        </w:tc>
        <w:tc>
          <w:tcPr>
            <w:tcW w:w="958" w:type="dxa"/>
            <w:tcBorders>
              <w:top w:val="single" w:sz="4" w:space="0" w:color="auto"/>
              <w:left w:val="nil"/>
              <w:bottom w:val="single" w:sz="4" w:space="0" w:color="auto"/>
              <w:right w:val="nil"/>
            </w:tcBorders>
          </w:tcPr>
          <w:p w:rsidR="002A4897" w:rsidRPr="002A4897" w:rsidRDefault="002A4897">
            <w:pPr>
              <w:rPr>
                <w:rFonts w:ascii="Arial" w:hAnsi="Arial" w:cs="Arial"/>
              </w:rPr>
            </w:pPr>
          </w:p>
        </w:tc>
        <w:tc>
          <w:tcPr>
            <w:tcW w:w="318" w:type="dxa"/>
            <w:tcBorders>
              <w:top w:val="single" w:sz="4" w:space="0" w:color="auto"/>
              <w:left w:val="nil"/>
              <w:bottom w:val="single" w:sz="4" w:space="0" w:color="auto"/>
              <w:right w:val="nil"/>
            </w:tcBorders>
          </w:tcPr>
          <w:p w:rsidR="002A4897" w:rsidRPr="002A4897" w:rsidRDefault="002A4897">
            <w:pPr>
              <w:rPr>
                <w:rFonts w:ascii="Arial" w:hAnsi="Arial" w:cs="Arial"/>
              </w:rPr>
            </w:pPr>
          </w:p>
        </w:tc>
      </w:tr>
      <w:tr w:rsidR="006625E7" w:rsidRPr="002A4897" w:rsidTr="00222298">
        <w:tc>
          <w:tcPr>
            <w:tcW w:w="14454" w:type="dxa"/>
            <w:gridSpan w:val="6"/>
            <w:tcBorders>
              <w:top w:val="single" w:sz="4" w:space="0" w:color="auto"/>
            </w:tcBorders>
            <w:shd w:val="clear" w:color="auto" w:fill="A6A6A6" w:themeFill="background1" w:themeFillShade="A6"/>
          </w:tcPr>
          <w:p w:rsidR="006625E7" w:rsidRPr="002A4897" w:rsidRDefault="006625E7">
            <w:pPr>
              <w:rPr>
                <w:rFonts w:ascii="Arial" w:hAnsi="Arial" w:cs="Arial"/>
                <w:b/>
              </w:rPr>
            </w:pPr>
            <w:r w:rsidRPr="002A4897">
              <w:rPr>
                <w:rFonts w:ascii="Arial" w:hAnsi="Arial" w:cs="Arial"/>
                <w:b/>
              </w:rPr>
              <w:t>Affirmation</w:t>
            </w:r>
          </w:p>
        </w:tc>
      </w:tr>
      <w:tr w:rsidR="006625E7" w:rsidRPr="002A4897" w:rsidTr="00222298">
        <w:tc>
          <w:tcPr>
            <w:tcW w:w="2122" w:type="dxa"/>
            <w:vMerge w:val="restart"/>
          </w:tcPr>
          <w:p w:rsidR="006625E7" w:rsidRDefault="006625E7" w:rsidP="00970866">
            <w:pPr>
              <w:pStyle w:val="Default"/>
              <w:spacing w:before="120" w:after="120"/>
              <w:rPr>
                <w:sz w:val="22"/>
                <w:szCs w:val="22"/>
              </w:rPr>
            </w:pPr>
            <w:r>
              <w:rPr>
                <w:sz w:val="22"/>
                <w:szCs w:val="22"/>
              </w:rPr>
              <w:t xml:space="preserve">The University is taking action to improve the quality and utility of marker feedback on assessed work, to meet the needs of all students (Expectation B6). </w:t>
            </w:r>
          </w:p>
        </w:tc>
        <w:tc>
          <w:tcPr>
            <w:tcW w:w="12332" w:type="dxa"/>
            <w:gridSpan w:val="5"/>
          </w:tcPr>
          <w:p w:rsidR="006625E7" w:rsidRPr="006625E7" w:rsidRDefault="006625E7" w:rsidP="006625E7">
            <w:pPr>
              <w:spacing w:before="60" w:after="60"/>
              <w:rPr>
                <w:rFonts w:ascii="Arial" w:hAnsi="Arial" w:cs="Arial"/>
              </w:rPr>
            </w:pPr>
            <w:r w:rsidRPr="006625E7">
              <w:rPr>
                <w:rFonts w:ascii="Arial" w:hAnsi="Arial" w:cs="Arial"/>
              </w:rPr>
              <w:t xml:space="preserve">The University set up a Working Group on Assessment and Feedback in May 2015 with an equal number of staff and student members drawn from every School.  Taking a workshop approach at each meeting, the group explored assessment and feedback challenges and made a series of recommendations through an Action Plan which was reported to the Student Education Experience </w:t>
            </w:r>
            <w:r w:rsidR="007524D6">
              <w:rPr>
                <w:rFonts w:ascii="Arial" w:hAnsi="Arial" w:cs="Arial"/>
              </w:rPr>
              <w:t>C</w:t>
            </w:r>
            <w:r w:rsidRPr="006625E7">
              <w:rPr>
                <w:rFonts w:ascii="Arial" w:hAnsi="Arial" w:cs="Arial"/>
              </w:rPr>
              <w:t xml:space="preserve">ommittee in </w:t>
            </w:r>
            <w:r w:rsidR="007524D6">
              <w:rPr>
                <w:rFonts w:ascii="Arial" w:hAnsi="Arial" w:cs="Arial"/>
              </w:rPr>
              <w:t>May 201</w:t>
            </w:r>
            <w:r w:rsidRPr="006625E7">
              <w:rPr>
                <w:rFonts w:ascii="Arial" w:hAnsi="Arial" w:cs="Arial"/>
              </w:rPr>
              <w:t xml:space="preserve">6.   All recommendations are either in the process of being implemented or are complete.  The Working Group will reconvene in 12 months’ time to review the Action Plan and assess the effectiveness of the implementation of the recommendations.  </w:t>
            </w:r>
          </w:p>
          <w:p w:rsidR="006625E7" w:rsidRPr="00970866" w:rsidRDefault="006625E7" w:rsidP="006625E7">
            <w:pPr>
              <w:spacing w:before="60" w:after="60"/>
              <w:rPr>
                <w:rFonts w:ascii="Arial" w:hAnsi="Arial" w:cs="Arial"/>
                <w:b/>
              </w:rPr>
            </w:pPr>
            <w:r w:rsidRPr="006625E7">
              <w:rPr>
                <w:rFonts w:ascii="Arial" w:hAnsi="Arial" w:cs="Arial"/>
              </w:rPr>
              <w:t>In terms of this specific affirmation, the following actions are being taken (extracted from the complete Assessment and Feedback Working Group Action Plan):</w:t>
            </w:r>
          </w:p>
        </w:tc>
      </w:tr>
      <w:tr w:rsidR="00222298" w:rsidRPr="002A4897" w:rsidTr="00A026EC">
        <w:tc>
          <w:tcPr>
            <w:tcW w:w="2122" w:type="dxa"/>
            <w:vMerge/>
          </w:tcPr>
          <w:p w:rsidR="00222298" w:rsidRPr="00BC1387" w:rsidRDefault="00222298" w:rsidP="00970866">
            <w:pPr>
              <w:pStyle w:val="Default"/>
              <w:spacing w:before="120" w:after="120"/>
              <w:rPr>
                <w:sz w:val="22"/>
                <w:szCs w:val="22"/>
              </w:rPr>
            </w:pPr>
          </w:p>
        </w:tc>
        <w:tc>
          <w:tcPr>
            <w:tcW w:w="7371" w:type="dxa"/>
            <w:shd w:val="clear" w:color="auto" w:fill="A6A6A6" w:themeFill="background1" w:themeFillShade="A6"/>
          </w:tcPr>
          <w:p w:rsidR="00222298" w:rsidRPr="00970866" w:rsidRDefault="00222298" w:rsidP="006625E7">
            <w:pPr>
              <w:rPr>
                <w:rFonts w:ascii="Arial" w:hAnsi="Arial" w:cs="Arial"/>
                <w:b/>
              </w:rPr>
            </w:pPr>
            <w:r w:rsidRPr="00970866">
              <w:rPr>
                <w:rFonts w:ascii="Arial" w:hAnsi="Arial" w:cs="Arial"/>
                <w:b/>
              </w:rPr>
              <w:t>Action</w:t>
            </w:r>
          </w:p>
        </w:tc>
        <w:tc>
          <w:tcPr>
            <w:tcW w:w="4961" w:type="dxa"/>
            <w:gridSpan w:val="4"/>
            <w:shd w:val="clear" w:color="auto" w:fill="A6A6A6" w:themeFill="background1" w:themeFillShade="A6"/>
          </w:tcPr>
          <w:p w:rsidR="00222298" w:rsidRPr="00970866" w:rsidRDefault="00222298" w:rsidP="006625E7">
            <w:pPr>
              <w:rPr>
                <w:rFonts w:ascii="Arial" w:hAnsi="Arial" w:cs="Arial"/>
                <w:b/>
              </w:rPr>
            </w:pPr>
            <w:r w:rsidRPr="00970866">
              <w:rPr>
                <w:rFonts w:ascii="Arial" w:hAnsi="Arial" w:cs="Arial"/>
                <w:b/>
              </w:rPr>
              <w:t>Responsibility</w:t>
            </w:r>
          </w:p>
        </w:tc>
      </w:tr>
      <w:tr w:rsidR="00222298" w:rsidRPr="002A4897" w:rsidTr="00A026EC">
        <w:tc>
          <w:tcPr>
            <w:tcW w:w="2122" w:type="dxa"/>
            <w:vMerge/>
          </w:tcPr>
          <w:p w:rsidR="00222298" w:rsidRDefault="00222298" w:rsidP="00970866">
            <w:pPr>
              <w:pStyle w:val="Default"/>
              <w:spacing w:before="120" w:after="120"/>
              <w:rPr>
                <w:sz w:val="22"/>
                <w:szCs w:val="22"/>
              </w:rPr>
            </w:pPr>
          </w:p>
        </w:tc>
        <w:tc>
          <w:tcPr>
            <w:tcW w:w="7371" w:type="dxa"/>
          </w:tcPr>
          <w:p w:rsidR="00222298" w:rsidRPr="00970866" w:rsidRDefault="00222298" w:rsidP="00970866">
            <w:pPr>
              <w:spacing w:before="60" w:after="60"/>
              <w:rPr>
                <w:rFonts w:ascii="Arial" w:hAnsi="Arial" w:cs="Arial"/>
              </w:rPr>
            </w:pPr>
            <w:r w:rsidRPr="00970866">
              <w:rPr>
                <w:rFonts w:ascii="Arial" w:hAnsi="Arial" w:cs="Arial"/>
              </w:rPr>
              <w:t>Continue to ensure Assessment for Learning principles are addressed as a key aspect of programme periodic review and validation to ensure that variety, authenticity and efficacy of assessment are considered appropriately and enhanced going forward</w:t>
            </w:r>
          </w:p>
        </w:tc>
        <w:tc>
          <w:tcPr>
            <w:tcW w:w="4961" w:type="dxa"/>
            <w:gridSpan w:val="4"/>
          </w:tcPr>
          <w:p w:rsidR="00222298" w:rsidRDefault="00222298" w:rsidP="00970866">
            <w:pPr>
              <w:spacing w:before="60" w:after="60"/>
              <w:rPr>
                <w:rFonts w:ascii="Arial" w:hAnsi="Arial" w:cs="Arial"/>
              </w:rPr>
            </w:pPr>
            <w:r>
              <w:rPr>
                <w:rFonts w:ascii="Arial" w:hAnsi="Arial" w:cs="Arial"/>
              </w:rPr>
              <w:t>Learning, Teaching &amp; Innovation Centre (LTIC) and</w:t>
            </w:r>
          </w:p>
          <w:p w:rsidR="00222298" w:rsidRPr="00970866" w:rsidRDefault="00222298" w:rsidP="00970866">
            <w:pPr>
              <w:spacing w:before="60" w:after="60"/>
              <w:rPr>
                <w:rFonts w:ascii="Arial" w:hAnsi="Arial" w:cs="Arial"/>
              </w:rPr>
            </w:pPr>
            <w:r>
              <w:rPr>
                <w:rFonts w:ascii="Arial" w:hAnsi="Arial" w:cs="Arial"/>
              </w:rPr>
              <w:t>Centre for Academic Quality Assurance (CAQA)</w:t>
            </w:r>
          </w:p>
        </w:tc>
      </w:tr>
      <w:tr w:rsidR="00222298" w:rsidRPr="002A4897" w:rsidTr="00A026EC">
        <w:tc>
          <w:tcPr>
            <w:tcW w:w="2122" w:type="dxa"/>
            <w:vMerge/>
          </w:tcPr>
          <w:p w:rsidR="00222298" w:rsidRDefault="00222298" w:rsidP="00970866">
            <w:pPr>
              <w:pStyle w:val="Default"/>
              <w:spacing w:before="120" w:after="120"/>
              <w:rPr>
                <w:sz w:val="22"/>
                <w:szCs w:val="22"/>
              </w:rPr>
            </w:pPr>
          </w:p>
        </w:tc>
        <w:tc>
          <w:tcPr>
            <w:tcW w:w="7371" w:type="dxa"/>
          </w:tcPr>
          <w:p w:rsidR="00222298" w:rsidRPr="00970866" w:rsidRDefault="00222298" w:rsidP="00970866">
            <w:pPr>
              <w:spacing w:before="60" w:after="60"/>
              <w:rPr>
                <w:rFonts w:ascii="Arial" w:hAnsi="Arial" w:cs="Arial"/>
              </w:rPr>
            </w:pPr>
            <w:r w:rsidRPr="00970866">
              <w:rPr>
                <w:rFonts w:ascii="Arial" w:hAnsi="Arial" w:cs="Arial"/>
              </w:rPr>
              <w:t>Use the feedback/comments from the benchmarking exercise to enhance our guidance and support to enhance the quality of feedback (Five Feedback Commitments)</w:t>
            </w:r>
          </w:p>
        </w:tc>
        <w:tc>
          <w:tcPr>
            <w:tcW w:w="4961" w:type="dxa"/>
            <w:gridSpan w:val="4"/>
          </w:tcPr>
          <w:p w:rsidR="00222298" w:rsidRPr="00970866" w:rsidRDefault="00222298" w:rsidP="00970866">
            <w:pPr>
              <w:spacing w:before="60" w:after="60"/>
              <w:rPr>
                <w:rFonts w:ascii="Arial" w:hAnsi="Arial" w:cs="Arial"/>
              </w:rPr>
            </w:pPr>
            <w:r>
              <w:rPr>
                <w:rFonts w:ascii="Arial" w:hAnsi="Arial" w:cs="Arial"/>
              </w:rPr>
              <w:t>LTIC</w:t>
            </w:r>
          </w:p>
        </w:tc>
      </w:tr>
      <w:tr w:rsidR="00222298" w:rsidRPr="002A4897" w:rsidTr="00A026EC">
        <w:tc>
          <w:tcPr>
            <w:tcW w:w="2122" w:type="dxa"/>
            <w:vMerge/>
          </w:tcPr>
          <w:p w:rsidR="00222298" w:rsidRDefault="00222298" w:rsidP="00970866">
            <w:pPr>
              <w:pStyle w:val="Default"/>
              <w:spacing w:before="120" w:after="120"/>
              <w:rPr>
                <w:sz w:val="22"/>
                <w:szCs w:val="22"/>
              </w:rPr>
            </w:pPr>
          </w:p>
        </w:tc>
        <w:tc>
          <w:tcPr>
            <w:tcW w:w="7371" w:type="dxa"/>
          </w:tcPr>
          <w:p w:rsidR="00222298" w:rsidRPr="00970866" w:rsidRDefault="00222298" w:rsidP="00970866">
            <w:pPr>
              <w:spacing w:before="60" w:after="60"/>
              <w:rPr>
                <w:rFonts w:ascii="Arial" w:hAnsi="Arial" w:cs="Arial"/>
              </w:rPr>
            </w:pPr>
            <w:r w:rsidRPr="00970866">
              <w:rPr>
                <w:rFonts w:ascii="Arial" w:hAnsi="Arial" w:cs="Arial"/>
              </w:rPr>
              <w:t>Create guidance/resources for staff around moderation process (marking and moderation flow chart); moderation record form; team approach to marking; suggestions for managing workloads; ideas for marking days; procedure for dealing with marking errors (</w:t>
            </w:r>
            <w:proofErr w:type="spellStart"/>
            <w:r w:rsidRPr="00970866">
              <w:rPr>
                <w:rFonts w:ascii="Arial" w:hAnsi="Arial" w:cs="Arial"/>
              </w:rPr>
              <w:t>eg</w:t>
            </w:r>
            <w:proofErr w:type="spellEnd"/>
            <w:r w:rsidRPr="00970866">
              <w:rPr>
                <w:rFonts w:ascii="Arial" w:hAnsi="Arial" w:cs="Arial"/>
              </w:rPr>
              <w:t xml:space="preserve"> counting, marks missing) etc.</w:t>
            </w:r>
          </w:p>
        </w:tc>
        <w:tc>
          <w:tcPr>
            <w:tcW w:w="4961" w:type="dxa"/>
            <w:gridSpan w:val="4"/>
          </w:tcPr>
          <w:p w:rsidR="00222298" w:rsidRPr="00970866" w:rsidRDefault="00222298" w:rsidP="00970866">
            <w:pPr>
              <w:spacing w:before="60" w:after="60"/>
              <w:rPr>
                <w:rFonts w:ascii="Arial" w:hAnsi="Arial" w:cs="Arial"/>
              </w:rPr>
            </w:pPr>
            <w:r>
              <w:rPr>
                <w:rFonts w:ascii="Arial" w:hAnsi="Arial" w:cs="Arial"/>
              </w:rPr>
              <w:t>LTIC</w:t>
            </w:r>
          </w:p>
        </w:tc>
      </w:tr>
      <w:tr w:rsidR="00222298" w:rsidRPr="002A4897" w:rsidTr="00A026EC">
        <w:tc>
          <w:tcPr>
            <w:tcW w:w="2122" w:type="dxa"/>
            <w:vMerge/>
          </w:tcPr>
          <w:p w:rsidR="00222298" w:rsidRDefault="00222298" w:rsidP="00970866">
            <w:pPr>
              <w:pStyle w:val="Default"/>
              <w:spacing w:before="120" w:after="120"/>
              <w:rPr>
                <w:sz w:val="22"/>
                <w:szCs w:val="22"/>
              </w:rPr>
            </w:pPr>
          </w:p>
        </w:tc>
        <w:tc>
          <w:tcPr>
            <w:tcW w:w="7371" w:type="dxa"/>
          </w:tcPr>
          <w:p w:rsidR="00222298" w:rsidRPr="00970866" w:rsidRDefault="00222298" w:rsidP="007524D6">
            <w:pPr>
              <w:spacing w:before="60" w:after="60"/>
              <w:rPr>
                <w:rFonts w:ascii="Arial" w:hAnsi="Arial" w:cs="Arial"/>
              </w:rPr>
            </w:pPr>
            <w:r w:rsidRPr="00970866">
              <w:rPr>
                <w:rFonts w:ascii="Arial" w:hAnsi="Arial" w:cs="Arial"/>
              </w:rPr>
              <w:t>Develop guidance associated with improving the quality of feedback (should relate to U</w:t>
            </w:r>
            <w:r>
              <w:rPr>
                <w:rFonts w:ascii="Arial" w:hAnsi="Arial" w:cs="Arial"/>
              </w:rPr>
              <w:t>niversity Policies &amp; Regulations (UPRs)</w:t>
            </w:r>
            <w:r w:rsidRPr="00970866">
              <w:rPr>
                <w:rFonts w:ascii="Arial" w:hAnsi="Arial" w:cs="Arial"/>
              </w:rPr>
              <w:t xml:space="preserve"> in terms of actions identified during moderation processes)</w:t>
            </w:r>
          </w:p>
        </w:tc>
        <w:tc>
          <w:tcPr>
            <w:tcW w:w="4961" w:type="dxa"/>
            <w:gridSpan w:val="4"/>
          </w:tcPr>
          <w:p w:rsidR="00222298" w:rsidRPr="00970866" w:rsidRDefault="00222298" w:rsidP="00970866">
            <w:pPr>
              <w:spacing w:before="60" w:after="60"/>
              <w:rPr>
                <w:rFonts w:ascii="Arial" w:hAnsi="Arial" w:cs="Arial"/>
              </w:rPr>
            </w:pPr>
            <w:r>
              <w:rPr>
                <w:rFonts w:ascii="Arial" w:hAnsi="Arial" w:cs="Arial"/>
              </w:rPr>
              <w:t xml:space="preserve">LTIC and </w:t>
            </w:r>
            <w:r w:rsidRPr="00970866">
              <w:rPr>
                <w:rFonts w:ascii="Arial" w:hAnsi="Arial" w:cs="Arial"/>
              </w:rPr>
              <w:t>CAQA</w:t>
            </w:r>
          </w:p>
        </w:tc>
      </w:tr>
      <w:tr w:rsidR="00222298" w:rsidRPr="002A4897" w:rsidTr="00A026EC">
        <w:tc>
          <w:tcPr>
            <w:tcW w:w="2122" w:type="dxa"/>
            <w:vMerge/>
          </w:tcPr>
          <w:p w:rsidR="00222298" w:rsidRDefault="00222298" w:rsidP="00970866">
            <w:pPr>
              <w:pStyle w:val="Default"/>
              <w:spacing w:before="120" w:after="120"/>
              <w:rPr>
                <w:sz w:val="22"/>
                <w:szCs w:val="22"/>
              </w:rPr>
            </w:pPr>
          </w:p>
        </w:tc>
        <w:tc>
          <w:tcPr>
            <w:tcW w:w="7371" w:type="dxa"/>
          </w:tcPr>
          <w:p w:rsidR="00222298" w:rsidRPr="00970866" w:rsidRDefault="00222298" w:rsidP="00970866">
            <w:pPr>
              <w:spacing w:before="60" w:after="60"/>
              <w:rPr>
                <w:rFonts w:ascii="Arial" w:hAnsi="Arial" w:cs="Arial"/>
              </w:rPr>
            </w:pPr>
            <w:r w:rsidRPr="00970866">
              <w:rPr>
                <w:rFonts w:ascii="Arial" w:hAnsi="Arial" w:cs="Arial"/>
              </w:rPr>
              <w:t xml:space="preserve">Produce guidance on feedback on exams to move towards a more consistent approach across Schools </w:t>
            </w:r>
          </w:p>
        </w:tc>
        <w:tc>
          <w:tcPr>
            <w:tcW w:w="4961" w:type="dxa"/>
            <w:gridSpan w:val="4"/>
          </w:tcPr>
          <w:p w:rsidR="00222298" w:rsidRPr="00970866" w:rsidRDefault="00222298" w:rsidP="00970866">
            <w:pPr>
              <w:spacing w:before="60" w:after="60"/>
              <w:rPr>
                <w:rFonts w:ascii="Arial" w:hAnsi="Arial" w:cs="Arial"/>
              </w:rPr>
            </w:pPr>
            <w:r>
              <w:rPr>
                <w:rFonts w:ascii="Arial" w:hAnsi="Arial" w:cs="Arial"/>
              </w:rPr>
              <w:t>CAQA and Associate Deans (Academic Quality Assurance) (AD(</w:t>
            </w:r>
            <w:r w:rsidRPr="00970866">
              <w:rPr>
                <w:rFonts w:ascii="Arial" w:hAnsi="Arial" w:cs="Arial"/>
              </w:rPr>
              <w:t>AQ</w:t>
            </w:r>
            <w:r>
              <w:rPr>
                <w:rFonts w:ascii="Arial" w:hAnsi="Arial" w:cs="Arial"/>
              </w:rPr>
              <w:t>A)s)</w:t>
            </w:r>
          </w:p>
        </w:tc>
      </w:tr>
      <w:tr w:rsidR="00222298" w:rsidRPr="002A4897" w:rsidTr="00A026EC">
        <w:tc>
          <w:tcPr>
            <w:tcW w:w="2122" w:type="dxa"/>
            <w:vMerge/>
          </w:tcPr>
          <w:p w:rsidR="00222298" w:rsidRDefault="00222298" w:rsidP="00970866">
            <w:pPr>
              <w:pStyle w:val="Default"/>
              <w:spacing w:before="120" w:after="120"/>
              <w:rPr>
                <w:sz w:val="22"/>
                <w:szCs w:val="22"/>
              </w:rPr>
            </w:pPr>
          </w:p>
        </w:tc>
        <w:tc>
          <w:tcPr>
            <w:tcW w:w="7371" w:type="dxa"/>
          </w:tcPr>
          <w:p w:rsidR="00222298" w:rsidRPr="00970866" w:rsidRDefault="00222298" w:rsidP="00970866">
            <w:pPr>
              <w:spacing w:before="60" w:after="60"/>
              <w:rPr>
                <w:rFonts w:ascii="Arial" w:hAnsi="Arial" w:cs="Arial"/>
              </w:rPr>
            </w:pPr>
            <w:r w:rsidRPr="00970866">
              <w:rPr>
                <w:rFonts w:ascii="Arial" w:hAnsi="Arial" w:cs="Arial"/>
              </w:rPr>
              <w:t>Create clearer guidance on what is actually provided to students (</w:t>
            </w:r>
            <w:proofErr w:type="spellStart"/>
            <w:r w:rsidRPr="00970866">
              <w:rPr>
                <w:rFonts w:ascii="Arial" w:hAnsi="Arial" w:cs="Arial"/>
              </w:rPr>
              <w:t>eg</w:t>
            </w:r>
            <w:proofErr w:type="spellEnd"/>
            <w:r w:rsidRPr="00970866">
              <w:rPr>
                <w:rFonts w:ascii="Arial" w:hAnsi="Arial" w:cs="Arial"/>
              </w:rPr>
              <w:t xml:space="preserve"> agreed mark only, second marker comments etc. in cases of blind double marking)</w:t>
            </w:r>
          </w:p>
        </w:tc>
        <w:tc>
          <w:tcPr>
            <w:tcW w:w="4961" w:type="dxa"/>
            <w:gridSpan w:val="4"/>
          </w:tcPr>
          <w:p w:rsidR="00222298" w:rsidRPr="00970866" w:rsidRDefault="00222298" w:rsidP="00970866">
            <w:pPr>
              <w:spacing w:before="60" w:after="60"/>
              <w:rPr>
                <w:rFonts w:ascii="Arial" w:hAnsi="Arial" w:cs="Arial"/>
              </w:rPr>
            </w:pPr>
            <w:r>
              <w:rPr>
                <w:rFonts w:ascii="Arial" w:hAnsi="Arial" w:cs="Arial"/>
              </w:rPr>
              <w:t xml:space="preserve">CAQA and </w:t>
            </w:r>
            <w:r w:rsidRPr="00970866">
              <w:rPr>
                <w:rFonts w:ascii="Arial" w:hAnsi="Arial" w:cs="Arial"/>
              </w:rPr>
              <w:t>LTIC</w:t>
            </w:r>
          </w:p>
        </w:tc>
      </w:tr>
      <w:tr w:rsidR="00222298" w:rsidRPr="002A4897" w:rsidTr="00A026EC">
        <w:tc>
          <w:tcPr>
            <w:tcW w:w="2122" w:type="dxa"/>
            <w:vMerge/>
          </w:tcPr>
          <w:p w:rsidR="00222298" w:rsidRDefault="00222298" w:rsidP="00970866">
            <w:pPr>
              <w:pStyle w:val="Default"/>
              <w:spacing w:before="120" w:after="120"/>
              <w:rPr>
                <w:sz w:val="22"/>
                <w:szCs w:val="22"/>
              </w:rPr>
            </w:pPr>
          </w:p>
        </w:tc>
        <w:tc>
          <w:tcPr>
            <w:tcW w:w="7371" w:type="dxa"/>
          </w:tcPr>
          <w:p w:rsidR="00222298" w:rsidRPr="00970866" w:rsidRDefault="00222298" w:rsidP="00970866">
            <w:pPr>
              <w:spacing w:before="60" w:after="60"/>
              <w:rPr>
                <w:rFonts w:ascii="Arial" w:hAnsi="Arial" w:cs="Arial"/>
              </w:rPr>
            </w:pPr>
            <w:r w:rsidRPr="00970866">
              <w:rPr>
                <w:rFonts w:ascii="Arial" w:hAnsi="Arial" w:cs="Arial"/>
              </w:rPr>
              <w:t xml:space="preserve">Encourage module and programme teams to use </w:t>
            </w:r>
            <w:proofErr w:type="spellStart"/>
            <w:r w:rsidRPr="00970866">
              <w:rPr>
                <w:rFonts w:ascii="Arial" w:hAnsi="Arial" w:cs="Arial"/>
              </w:rPr>
              <w:t>StudyNet</w:t>
            </w:r>
            <w:proofErr w:type="spellEnd"/>
            <w:r w:rsidRPr="00970866">
              <w:rPr>
                <w:rFonts w:ascii="Arial" w:hAnsi="Arial" w:cs="Arial"/>
              </w:rPr>
              <w:t xml:space="preserve"> Assignment system to allow creation of assessment landscape</w:t>
            </w:r>
          </w:p>
        </w:tc>
        <w:tc>
          <w:tcPr>
            <w:tcW w:w="4961" w:type="dxa"/>
            <w:gridSpan w:val="4"/>
          </w:tcPr>
          <w:p w:rsidR="00222298" w:rsidRPr="00970866" w:rsidRDefault="00222298" w:rsidP="00140DBF">
            <w:pPr>
              <w:spacing w:before="60" w:after="60"/>
              <w:rPr>
                <w:rFonts w:ascii="Arial" w:hAnsi="Arial" w:cs="Arial"/>
              </w:rPr>
            </w:pPr>
            <w:r>
              <w:rPr>
                <w:rFonts w:ascii="Arial" w:hAnsi="Arial" w:cs="Arial"/>
              </w:rPr>
              <w:t>LTIC, Learning Technology Development Unit (LTDU) and P</w:t>
            </w:r>
            <w:r w:rsidRPr="00970866">
              <w:rPr>
                <w:rFonts w:ascii="Arial" w:hAnsi="Arial" w:cs="Arial"/>
              </w:rPr>
              <w:t>rogramme Tutors</w:t>
            </w:r>
          </w:p>
        </w:tc>
      </w:tr>
      <w:tr w:rsidR="00222298" w:rsidRPr="002A4897" w:rsidTr="00A026EC">
        <w:tc>
          <w:tcPr>
            <w:tcW w:w="2122" w:type="dxa"/>
            <w:vMerge/>
          </w:tcPr>
          <w:p w:rsidR="00222298" w:rsidRDefault="00222298" w:rsidP="00970866">
            <w:pPr>
              <w:pStyle w:val="Default"/>
              <w:spacing w:before="120" w:after="120"/>
              <w:rPr>
                <w:sz w:val="22"/>
                <w:szCs w:val="22"/>
              </w:rPr>
            </w:pPr>
          </w:p>
        </w:tc>
        <w:tc>
          <w:tcPr>
            <w:tcW w:w="7371" w:type="dxa"/>
          </w:tcPr>
          <w:p w:rsidR="00222298" w:rsidRPr="00970866" w:rsidRDefault="00222298" w:rsidP="00970866">
            <w:pPr>
              <w:spacing w:before="60" w:after="60"/>
              <w:rPr>
                <w:rFonts w:ascii="Arial" w:hAnsi="Arial" w:cs="Arial"/>
              </w:rPr>
            </w:pPr>
            <w:r w:rsidRPr="00970866">
              <w:rPr>
                <w:rFonts w:ascii="Arial" w:hAnsi="Arial" w:cs="Arial"/>
              </w:rPr>
              <w:t xml:space="preserve">Request changes to online marking environment on </w:t>
            </w:r>
            <w:proofErr w:type="spellStart"/>
            <w:r w:rsidRPr="00970866">
              <w:rPr>
                <w:rFonts w:ascii="Arial" w:hAnsi="Arial" w:cs="Arial"/>
              </w:rPr>
              <w:t>StudyNet</w:t>
            </w:r>
            <w:proofErr w:type="spellEnd"/>
            <w:r w:rsidRPr="00970866">
              <w:rPr>
                <w:rFonts w:ascii="Arial" w:hAnsi="Arial" w:cs="Arial"/>
              </w:rPr>
              <w:t xml:space="preserve"> to improve marking/moderation process – </w:t>
            </w:r>
            <w:proofErr w:type="spellStart"/>
            <w:r w:rsidRPr="00970866">
              <w:rPr>
                <w:rFonts w:ascii="Arial" w:hAnsi="Arial" w:cs="Arial"/>
              </w:rPr>
              <w:t>eg</w:t>
            </w:r>
            <w:proofErr w:type="spellEnd"/>
            <w:r w:rsidRPr="00970866">
              <w:rPr>
                <w:rFonts w:ascii="Arial" w:hAnsi="Arial" w:cs="Arial"/>
              </w:rPr>
              <w:t xml:space="preserve"> remove ‘I agree with original mark’ tick box; change ‘second marker’ to ‘moderator’; remove the student view of the moderator’s comments; provide marker distribution graphs by individual marker for moderator to view</w:t>
            </w:r>
          </w:p>
        </w:tc>
        <w:tc>
          <w:tcPr>
            <w:tcW w:w="4961" w:type="dxa"/>
            <w:gridSpan w:val="4"/>
          </w:tcPr>
          <w:p w:rsidR="00222298" w:rsidRPr="00970866" w:rsidRDefault="00222298" w:rsidP="00970866">
            <w:pPr>
              <w:spacing w:before="60" w:after="60"/>
              <w:rPr>
                <w:rFonts w:ascii="Arial" w:hAnsi="Arial" w:cs="Arial"/>
              </w:rPr>
            </w:pPr>
            <w:r w:rsidRPr="00970866">
              <w:rPr>
                <w:rFonts w:ascii="Arial" w:hAnsi="Arial" w:cs="Arial"/>
              </w:rPr>
              <w:t>LTDU</w:t>
            </w:r>
          </w:p>
        </w:tc>
      </w:tr>
      <w:tr w:rsidR="00222298" w:rsidRPr="002A4897" w:rsidTr="00A026EC">
        <w:tc>
          <w:tcPr>
            <w:tcW w:w="2122" w:type="dxa"/>
            <w:vMerge/>
          </w:tcPr>
          <w:p w:rsidR="00222298" w:rsidRDefault="00222298" w:rsidP="00970866">
            <w:pPr>
              <w:pStyle w:val="Default"/>
              <w:spacing w:before="120" w:after="120"/>
              <w:rPr>
                <w:sz w:val="22"/>
                <w:szCs w:val="22"/>
              </w:rPr>
            </w:pPr>
          </w:p>
        </w:tc>
        <w:tc>
          <w:tcPr>
            <w:tcW w:w="7371" w:type="dxa"/>
          </w:tcPr>
          <w:p w:rsidR="00222298" w:rsidRPr="00970866" w:rsidRDefault="00222298" w:rsidP="007524D6">
            <w:pPr>
              <w:spacing w:before="60" w:after="60"/>
              <w:rPr>
                <w:rFonts w:ascii="Arial" w:hAnsi="Arial" w:cs="Arial"/>
              </w:rPr>
            </w:pPr>
            <w:r w:rsidRPr="00970866">
              <w:rPr>
                <w:rFonts w:ascii="Arial" w:hAnsi="Arial" w:cs="Arial"/>
              </w:rPr>
              <w:t xml:space="preserve">Pilot to trial co-marking/moderating with Office 365 to consider how </w:t>
            </w:r>
            <w:r>
              <w:rPr>
                <w:rFonts w:ascii="Arial" w:hAnsi="Arial" w:cs="Arial"/>
              </w:rPr>
              <w:t>it</w:t>
            </w:r>
            <w:r w:rsidRPr="00970866">
              <w:rPr>
                <w:rFonts w:ascii="Arial" w:hAnsi="Arial" w:cs="Arial"/>
              </w:rPr>
              <w:t xml:space="preserve"> may be useful for staff and students in relation to efficiencies within assessment and feedback</w:t>
            </w:r>
          </w:p>
        </w:tc>
        <w:tc>
          <w:tcPr>
            <w:tcW w:w="4961" w:type="dxa"/>
            <w:gridSpan w:val="4"/>
          </w:tcPr>
          <w:p w:rsidR="00222298" w:rsidRPr="00970866" w:rsidRDefault="00222298" w:rsidP="00140DBF">
            <w:pPr>
              <w:spacing w:before="60" w:after="60"/>
              <w:rPr>
                <w:rFonts w:ascii="Arial" w:hAnsi="Arial" w:cs="Arial"/>
              </w:rPr>
            </w:pPr>
            <w:r>
              <w:rPr>
                <w:rFonts w:ascii="Arial" w:hAnsi="Arial" w:cs="Arial"/>
              </w:rPr>
              <w:t>LTIC and Associate Deans (Learning &amp; Teaching) (AD(LT)s)</w:t>
            </w:r>
          </w:p>
        </w:tc>
      </w:tr>
      <w:tr w:rsidR="00222298" w:rsidRPr="002A4897" w:rsidTr="00A026EC">
        <w:tc>
          <w:tcPr>
            <w:tcW w:w="2122" w:type="dxa"/>
            <w:vMerge/>
          </w:tcPr>
          <w:p w:rsidR="00222298" w:rsidRDefault="00222298" w:rsidP="00970866">
            <w:pPr>
              <w:pStyle w:val="Default"/>
              <w:spacing w:before="120" w:after="120"/>
              <w:rPr>
                <w:sz w:val="22"/>
                <w:szCs w:val="22"/>
              </w:rPr>
            </w:pPr>
          </w:p>
        </w:tc>
        <w:tc>
          <w:tcPr>
            <w:tcW w:w="7371" w:type="dxa"/>
          </w:tcPr>
          <w:p w:rsidR="00222298" w:rsidRPr="00970866" w:rsidRDefault="00222298" w:rsidP="00970866">
            <w:pPr>
              <w:spacing w:before="60" w:after="60"/>
              <w:rPr>
                <w:rFonts w:ascii="Arial" w:hAnsi="Arial" w:cs="Arial"/>
              </w:rPr>
            </w:pPr>
            <w:r w:rsidRPr="00970866">
              <w:rPr>
                <w:rFonts w:ascii="Arial" w:hAnsi="Arial" w:cs="Arial"/>
              </w:rPr>
              <w:t xml:space="preserve">Liaise with CAQA around proposed changes to wording in Marking and Moderation UPRs and feed back to SEEC/ASAC  </w:t>
            </w:r>
          </w:p>
        </w:tc>
        <w:tc>
          <w:tcPr>
            <w:tcW w:w="4961" w:type="dxa"/>
            <w:gridSpan w:val="4"/>
          </w:tcPr>
          <w:p w:rsidR="00222298" w:rsidRPr="00970866" w:rsidRDefault="00222298" w:rsidP="00970866">
            <w:pPr>
              <w:spacing w:before="60" w:after="60"/>
              <w:rPr>
                <w:rFonts w:ascii="Arial" w:hAnsi="Arial" w:cs="Arial"/>
              </w:rPr>
            </w:pPr>
            <w:r>
              <w:rPr>
                <w:rFonts w:ascii="Arial" w:hAnsi="Arial" w:cs="Arial"/>
              </w:rPr>
              <w:t xml:space="preserve">CAQA and </w:t>
            </w:r>
            <w:r w:rsidRPr="00970866">
              <w:rPr>
                <w:rFonts w:ascii="Arial" w:hAnsi="Arial" w:cs="Arial"/>
              </w:rPr>
              <w:t>LTIC</w:t>
            </w:r>
          </w:p>
        </w:tc>
      </w:tr>
      <w:tr w:rsidR="00222298" w:rsidRPr="002A4897" w:rsidTr="00A026EC">
        <w:tc>
          <w:tcPr>
            <w:tcW w:w="2122" w:type="dxa"/>
            <w:vMerge/>
          </w:tcPr>
          <w:p w:rsidR="00222298" w:rsidRDefault="00222298" w:rsidP="00970866">
            <w:pPr>
              <w:pStyle w:val="Default"/>
              <w:spacing w:before="120" w:after="120"/>
              <w:rPr>
                <w:sz w:val="22"/>
                <w:szCs w:val="22"/>
              </w:rPr>
            </w:pPr>
          </w:p>
        </w:tc>
        <w:tc>
          <w:tcPr>
            <w:tcW w:w="7371" w:type="dxa"/>
          </w:tcPr>
          <w:p w:rsidR="00222298" w:rsidRPr="00970866" w:rsidRDefault="00222298" w:rsidP="00970866">
            <w:pPr>
              <w:spacing w:before="60" w:after="60"/>
              <w:rPr>
                <w:rFonts w:ascii="Arial" w:hAnsi="Arial" w:cs="Arial"/>
              </w:rPr>
            </w:pPr>
            <w:r w:rsidRPr="00970866">
              <w:rPr>
                <w:rFonts w:ascii="Arial" w:hAnsi="Arial" w:cs="Arial"/>
              </w:rPr>
              <w:t>Feedback to University about continuing concerns over wording of UPR 5.8 (iii). Group suggested further clarification</w:t>
            </w:r>
          </w:p>
        </w:tc>
        <w:tc>
          <w:tcPr>
            <w:tcW w:w="4961" w:type="dxa"/>
            <w:gridSpan w:val="4"/>
          </w:tcPr>
          <w:p w:rsidR="00222298" w:rsidRPr="00970866" w:rsidRDefault="00222298" w:rsidP="00970866">
            <w:pPr>
              <w:spacing w:before="60" w:after="60"/>
              <w:rPr>
                <w:rFonts w:ascii="Arial" w:hAnsi="Arial" w:cs="Arial"/>
              </w:rPr>
            </w:pPr>
            <w:r w:rsidRPr="00970866">
              <w:rPr>
                <w:rFonts w:ascii="Arial" w:hAnsi="Arial" w:cs="Arial"/>
              </w:rPr>
              <w:t>LTIC</w:t>
            </w:r>
          </w:p>
        </w:tc>
      </w:tr>
    </w:tbl>
    <w:p w:rsidR="002A4897" w:rsidRDefault="002A4897"/>
    <w:p w:rsidR="002A4897" w:rsidRDefault="002A4897" w:rsidP="009809EA">
      <w:pPr>
        <w:spacing w:after="0" w:line="24" w:lineRule="auto"/>
      </w:pPr>
    </w:p>
    <w:sectPr w:rsidR="002A4897" w:rsidSect="007524D6">
      <w:headerReference w:type="default" r:id="rId7"/>
      <w:pgSz w:w="16838" w:h="11906" w:orient="landscape"/>
      <w:pgMar w:top="1247" w:right="1191" w:bottom="1191" w:left="119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889" w:rsidRDefault="00994889" w:rsidP="002A4897">
      <w:pPr>
        <w:spacing w:after="0" w:line="240" w:lineRule="auto"/>
      </w:pPr>
      <w:r>
        <w:separator/>
      </w:r>
    </w:p>
  </w:endnote>
  <w:endnote w:type="continuationSeparator" w:id="0">
    <w:p w:rsidR="00994889" w:rsidRDefault="00994889" w:rsidP="002A4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889" w:rsidRDefault="00994889" w:rsidP="002A4897">
      <w:pPr>
        <w:spacing w:after="0" w:line="240" w:lineRule="auto"/>
      </w:pPr>
      <w:r>
        <w:separator/>
      </w:r>
    </w:p>
  </w:footnote>
  <w:footnote w:type="continuationSeparator" w:id="0">
    <w:p w:rsidR="00994889" w:rsidRDefault="00994889" w:rsidP="002A48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897" w:rsidRDefault="002A4897" w:rsidP="002A4897">
    <w:pPr>
      <w:pStyle w:val="Header"/>
      <w:tabs>
        <w:tab w:val="clear" w:pos="9026"/>
        <w:tab w:val="right" w:pos="14317"/>
      </w:tabs>
    </w:pPr>
    <w:r w:rsidRPr="002A4897">
      <w:rPr>
        <w:noProof/>
        <w:lang w:eastAsia="en-GB"/>
      </w:rPr>
      <w:drawing>
        <wp:inline distT="0" distB="0" distL="0" distR="0" wp14:anchorId="2409200A" wp14:editId="0D1ED6A2">
          <wp:extent cx="2692400" cy="596900"/>
          <wp:effectExtent l="0" t="0" r="0" b="0"/>
          <wp:docPr id="15364" name="Picture 13" descr="UH_LOGO_BLACK_P_PRO.BLACK_CMYK_1115.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4" name="Picture 13" descr="UH_LOGO_BLACK_P_PRO.BLACK_CMYK_1115.ai"/>
                  <pic:cNvPicPr>
                    <a:picLocks noChangeAspect="1"/>
                  </pic:cNvPicPr>
                </pic:nvPicPr>
                <pic:blipFill>
                  <a:blip r:embed="rId1">
                    <a:extLst>
                      <a:ext uri="{28A0092B-C50C-407E-A947-70E740481C1C}">
                        <a14:useLocalDpi xmlns:a14="http://schemas.microsoft.com/office/drawing/2010/main" val="0"/>
                      </a:ext>
                    </a:extLst>
                  </a:blip>
                  <a:srcRect l="3175" r="2"/>
                  <a:stretch>
                    <a:fillRect/>
                  </a:stretch>
                </pic:blipFill>
                <pic:spPr bwMode="auto">
                  <a:xfrm>
                    <a:off x="0" y="0"/>
                    <a:ext cx="2692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tab/>
    </w:r>
    <w:r>
      <w:tab/>
    </w:r>
    <w:r w:rsidRPr="002A4897">
      <w:rPr>
        <w:rFonts w:ascii="Arial" w:hAnsi="Arial" w:cs="Arial"/>
      </w:rPr>
      <w:t>QAA Higher Education Review – Action Plan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21FD4"/>
    <w:multiLevelType w:val="hybridMultilevel"/>
    <w:tmpl w:val="6428E508"/>
    <w:lvl w:ilvl="0" w:tplc="08A2A09C">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362C99"/>
    <w:multiLevelType w:val="hybridMultilevel"/>
    <w:tmpl w:val="1130B666"/>
    <w:lvl w:ilvl="0" w:tplc="DB10B6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897"/>
    <w:rsid w:val="00140DBF"/>
    <w:rsid w:val="00222298"/>
    <w:rsid w:val="002A4897"/>
    <w:rsid w:val="00345071"/>
    <w:rsid w:val="00407C5E"/>
    <w:rsid w:val="004D4B88"/>
    <w:rsid w:val="005013D6"/>
    <w:rsid w:val="00537174"/>
    <w:rsid w:val="0062119E"/>
    <w:rsid w:val="006625E7"/>
    <w:rsid w:val="00707D01"/>
    <w:rsid w:val="007524D6"/>
    <w:rsid w:val="007D1122"/>
    <w:rsid w:val="00847F28"/>
    <w:rsid w:val="00970866"/>
    <w:rsid w:val="009809EA"/>
    <w:rsid w:val="00994889"/>
    <w:rsid w:val="009C4F71"/>
    <w:rsid w:val="00A026EC"/>
    <w:rsid w:val="00A52CB2"/>
    <w:rsid w:val="00AA05A3"/>
    <w:rsid w:val="00B80A17"/>
    <w:rsid w:val="00BC1387"/>
    <w:rsid w:val="00E0638D"/>
    <w:rsid w:val="00E56D2E"/>
    <w:rsid w:val="00E65DC3"/>
    <w:rsid w:val="00F43E5B"/>
    <w:rsid w:val="00FB6C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F2FB8B-C470-4921-A778-C45BBC628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48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4897"/>
  </w:style>
  <w:style w:type="paragraph" w:styleId="Footer">
    <w:name w:val="footer"/>
    <w:basedOn w:val="Normal"/>
    <w:link w:val="FooterChar"/>
    <w:uiPriority w:val="99"/>
    <w:unhideWhenUsed/>
    <w:rsid w:val="002A48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4897"/>
  </w:style>
  <w:style w:type="table" w:styleId="TableGrid">
    <w:name w:val="Table Grid"/>
    <w:basedOn w:val="TableNormal"/>
    <w:uiPriority w:val="39"/>
    <w:rsid w:val="002A4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C1387"/>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A52C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4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1035</Words>
  <Characters>5905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Hertfordshire</Company>
  <LinksUpToDate>false</LinksUpToDate>
  <CharactersWithSpaces>6927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Haddleton</dc:creator>
  <cp:keywords/>
  <dc:description/>
  <cp:lastModifiedBy>Frank Haddleton</cp:lastModifiedBy>
  <cp:revision>4</cp:revision>
  <dcterms:created xsi:type="dcterms:W3CDTF">2016-05-19T10:11:00Z</dcterms:created>
  <dcterms:modified xsi:type="dcterms:W3CDTF">2016-05-19T11:45:00Z</dcterms:modified>
</cp:coreProperties>
</file>