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5A7C" w14:textId="14B08C25" w:rsidR="00E46122" w:rsidRDefault="00E46122">
      <w:r w:rsidRPr="0059354B">
        <w:rPr>
          <w:noProof/>
        </w:rPr>
        <w:drawing>
          <wp:anchor distT="0" distB="0" distL="114300" distR="114300" simplePos="0" relativeHeight="251658240" behindDoc="1" locked="0" layoutInCell="1" allowOverlap="1" wp14:anchorId="6EE0542A" wp14:editId="4ED433F3">
            <wp:simplePos x="0" y="0"/>
            <wp:positionH relativeFrom="page">
              <wp:posOffset>5266715</wp:posOffset>
            </wp:positionH>
            <wp:positionV relativeFrom="paragraph">
              <wp:posOffset>-330073</wp:posOffset>
            </wp:positionV>
            <wp:extent cx="1847519" cy="333367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_of_Hertfordshire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19" cy="333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7F3A7" w14:textId="51FD52C0" w:rsidR="00C327AB" w:rsidRPr="00145B06" w:rsidRDefault="22EE6346" w:rsidP="467131B8">
      <w:pPr>
        <w:jc w:val="center"/>
        <w:rPr>
          <w:rFonts w:ascii="Arial" w:hAnsi="Arial" w:cs="Arial"/>
          <w:b/>
          <w:bCs/>
          <w:color w:val="FFFFFF" w:themeColor="background1"/>
          <w:sz w:val="40"/>
          <w:szCs w:val="40"/>
        </w:rPr>
      </w:pPr>
      <w:r w:rsidRPr="00145B06">
        <w:rPr>
          <w:rFonts w:ascii="Arial" w:hAnsi="Arial" w:cs="Arial"/>
          <w:b/>
          <w:bCs/>
          <w:color w:val="FFFFFF" w:themeColor="background1"/>
          <w:sz w:val="40"/>
          <w:szCs w:val="40"/>
          <w:highlight w:val="black"/>
        </w:rPr>
        <w:t>Widening Access and Student Success</w:t>
      </w:r>
    </w:p>
    <w:p w14:paraId="6C439E42" w14:textId="34CF0C75" w:rsidR="002B0212" w:rsidRPr="00145B06" w:rsidRDefault="00E46122" w:rsidP="002B0212">
      <w:pPr>
        <w:tabs>
          <w:tab w:val="left" w:pos="289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45B06">
        <w:rPr>
          <w:rFonts w:ascii="Arial" w:hAnsi="Arial" w:cs="Arial"/>
          <w:b/>
          <w:bCs/>
          <w:sz w:val="32"/>
          <w:szCs w:val="32"/>
        </w:rPr>
        <w:t>Widening Access</w:t>
      </w:r>
      <w:r w:rsidR="002B0212" w:rsidRPr="00145B06">
        <w:rPr>
          <w:rFonts w:ascii="Arial" w:hAnsi="Arial" w:cs="Arial"/>
          <w:b/>
          <w:bCs/>
          <w:sz w:val="32"/>
          <w:szCs w:val="32"/>
        </w:rPr>
        <w:t xml:space="preserve"> </w:t>
      </w:r>
      <w:r w:rsidR="00E907CE">
        <w:rPr>
          <w:rFonts w:ascii="Arial" w:hAnsi="Arial" w:cs="Arial"/>
          <w:b/>
          <w:bCs/>
          <w:sz w:val="32"/>
          <w:szCs w:val="32"/>
        </w:rPr>
        <w:t>T</w:t>
      </w:r>
      <w:r w:rsidR="002B0212" w:rsidRPr="00145B06">
        <w:rPr>
          <w:rFonts w:ascii="Arial" w:hAnsi="Arial" w:cs="Arial"/>
          <w:b/>
          <w:bCs/>
          <w:sz w:val="32"/>
          <w:szCs w:val="32"/>
        </w:rPr>
        <w:t xml:space="preserve">arget </w:t>
      </w:r>
      <w:r w:rsidR="00E907CE">
        <w:rPr>
          <w:rFonts w:ascii="Arial" w:hAnsi="Arial" w:cs="Arial"/>
          <w:b/>
          <w:bCs/>
          <w:sz w:val="32"/>
          <w:szCs w:val="32"/>
        </w:rPr>
        <w:t>Secondary S</w:t>
      </w:r>
      <w:r w:rsidR="002B0212" w:rsidRPr="00145B06">
        <w:rPr>
          <w:rFonts w:ascii="Arial" w:hAnsi="Arial" w:cs="Arial"/>
          <w:b/>
          <w:bCs/>
          <w:sz w:val="32"/>
          <w:szCs w:val="32"/>
        </w:rPr>
        <w:t>chools</w:t>
      </w:r>
    </w:p>
    <w:p w14:paraId="6228775F" w14:textId="6566E9E9" w:rsidR="008E3541" w:rsidRPr="00145B06" w:rsidRDefault="002B0212" w:rsidP="008E3541">
      <w:pPr>
        <w:tabs>
          <w:tab w:val="left" w:pos="2895"/>
        </w:tabs>
        <w:jc w:val="center"/>
        <w:rPr>
          <w:rFonts w:ascii="Arial" w:hAnsi="Arial" w:cs="Arial"/>
        </w:rPr>
      </w:pPr>
      <w:r w:rsidRPr="00145B06">
        <w:rPr>
          <w:rFonts w:ascii="Arial" w:hAnsi="Arial" w:cs="Arial"/>
        </w:rPr>
        <w:t>202</w:t>
      </w:r>
      <w:r w:rsidR="00145B06" w:rsidRPr="00145B06">
        <w:rPr>
          <w:rFonts w:ascii="Arial" w:hAnsi="Arial" w:cs="Arial"/>
        </w:rPr>
        <w:t>1</w:t>
      </w:r>
      <w:r w:rsidRPr="00145B06">
        <w:rPr>
          <w:rFonts w:ascii="Arial" w:hAnsi="Arial" w:cs="Arial"/>
        </w:rPr>
        <w:t xml:space="preserve"> – 202</w:t>
      </w:r>
      <w:r w:rsidR="00145B06" w:rsidRPr="00145B06">
        <w:rPr>
          <w:rFonts w:ascii="Arial" w:hAnsi="Arial" w:cs="Arial"/>
        </w:rPr>
        <w:t>2</w:t>
      </w:r>
      <w:r w:rsidRPr="00145B06">
        <w:rPr>
          <w:rFonts w:ascii="Arial" w:hAnsi="Arial" w:cs="Arial"/>
        </w:rPr>
        <w:t xml:space="preserve"> academic year</w:t>
      </w:r>
    </w:p>
    <w:p w14:paraId="3C9E461E" w14:textId="7945B7A9" w:rsidR="008E3541" w:rsidRPr="00145B06" w:rsidRDefault="002B0212" w:rsidP="002B0212">
      <w:pPr>
        <w:tabs>
          <w:tab w:val="left" w:pos="2895"/>
        </w:tabs>
        <w:rPr>
          <w:rFonts w:ascii="Arial" w:hAnsi="Arial" w:cs="Arial"/>
        </w:rPr>
      </w:pPr>
      <w:r w:rsidRPr="00145B06">
        <w:rPr>
          <w:rFonts w:ascii="Arial" w:hAnsi="Arial" w:cs="Arial"/>
        </w:rPr>
        <w:t xml:space="preserve">The following schools have been selected to be the target of our work for the </w:t>
      </w:r>
      <w:r w:rsidR="00145B06" w:rsidRPr="00145B06">
        <w:rPr>
          <w:rFonts w:ascii="Arial" w:hAnsi="Arial" w:cs="Arial"/>
        </w:rPr>
        <w:t>20</w:t>
      </w:r>
      <w:r w:rsidRPr="00145B06">
        <w:rPr>
          <w:rFonts w:ascii="Arial" w:hAnsi="Arial" w:cs="Arial"/>
        </w:rPr>
        <w:t>21</w:t>
      </w:r>
      <w:r w:rsidR="00145B06" w:rsidRPr="00145B06">
        <w:rPr>
          <w:rFonts w:ascii="Arial" w:hAnsi="Arial" w:cs="Arial"/>
        </w:rPr>
        <w:t>-</w:t>
      </w:r>
      <w:r w:rsidRPr="00145B06">
        <w:rPr>
          <w:rFonts w:ascii="Arial" w:hAnsi="Arial" w:cs="Arial"/>
        </w:rPr>
        <w:t>22 academic year</w:t>
      </w:r>
      <w:r w:rsidR="008E3541" w:rsidRPr="00145B06">
        <w:rPr>
          <w:rFonts w:ascii="Arial" w:hAnsi="Arial" w:cs="Arial"/>
        </w:rPr>
        <w:t xml:space="preserve">. This is to ensure our support directly </w:t>
      </w:r>
      <w:r w:rsidR="00145B06" w:rsidRPr="00145B06">
        <w:rPr>
          <w:rFonts w:ascii="Arial" w:hAnsi="Arial" w:cs="Arial"/>
        </w:rPr>
        <w:t>contributes</w:t>
      </w:r>
      <w:r w:rsidR="008E3541" w:rsidRPr="00145B06">
        <w:rPr>
          <w:rFonts w:ascii="Arial" w:hAnsi="Arial" w:cs="Arial"/>
        </w:rPr>
        <w:t xml:space="preserve"> towards the aims and objectives set out in the </w:t>
      </w:r>
      <w:hyperlink r:id="rId9" w:history="1">
        <w:r w:rsidR="008E3541" w:rsidRPr="0019342E">
          <w:rPr>
            <w:rStyle w:val="Hyperlink"/>
            <w:rFonts w:ascii="Arial" w:hAnsi="Arial" w:cs="Arial"/>
          </w:rPr>
          <w:t xml:space="preserve">University of Hertfordshire’s </w:t>
        </w:r>
        <w:r w:rsidR="0019342E">
          <w:rPr>
            <w:rStyle w:val="Hyperlink"/>
            <w:rFonts w:ascii="Arial" w:hAnsi="Arial" w:cs="Arial"/>
          </w:rPr>
          <w:t xml:space="preserve">2020-25 </w:t>
        </w:r>
        <w:r w:rsidR="008E3541" w:rsidRPr="0019342E">
          <w:rPr>
            <w:rStyle w:val="Hyperlink"/>
            <w:rFonts w:ascii="Arial" w:hAnsi="Arial" w:cs="Arial"/>
          </w:rPr>
          <w:t>Access and Participation Plan</w:t>
        </w:r>
      </w:hyperlink>
      <w:r w:rsidR="008E3541" w:rsidRPr="00145B06">
        <w:rPr>
          <w:rFonts w:ascii="Arial" w:hAnsi="Arial" w:cs="Arial"/>
        </w:rPr>
        <w:t>.</w:t>
      </w:r>
    </w:p>
    <w:p w14:paraId="36EE0242" w14:textId="77777777" w:rsidR="00145B06" w:rsidRPr="00145B06" w:rsidRDefault="00145B06" w:rsidP="002B0212">
      <w:pPr>
        <w:tabs>
          <w:tab w:val="left" w:pos="2895"/>
        </w:tabs>
        <w:rPr>
          <w:rFonts w:ascii="Arial" w:hAnsi="Arial" w:cs="Arial"/>
        </w:rPr>
      </w:pPr>
    </w:p>
    <w:p w14:paraId="41C1F304" w14:textId="28C7FF3F" w:rsidR="002B0212" w:rsidRPr="00145B06" w:rsidRDefault="008E3541" w:rsidP="002B0212">
      <w:pPr>
        <w:tabs>
          <w:tab w:val="left" w:pos="2895"/>
        </w:tabs>
        <w:rPr>
          <w:rFonts w:ascii="Arial" w:hAnsi="Arial" w:cs="Arial"/>
          <w:b/>
          <w:bCs/>
          <w:sz w:val="28"/>
          <w:szCs w:val="28"/>
        </w:rPr>
      </w:pPr>
      <w:r w:rsidRPr="00145B06">
        <w:rPr>
          <w:rFonts w:ascii="Arial" w:hAnsi="Arial" w:cs="Arial"/>
          <w:b/>
          <w:bCs/>
          <w:sz w:val="28"/>
          <w:szCs w:val="28"/>
        </w:rPr>
        <w:t>Our targeted support is split into the following Tiers:</w:t>
      </w:r>
    </w:p>
    <w:p w14:paraId="1B97DB85" w14:textId="77777777" w:rsidR="00145B06" w:rsidRPr="00145B06" w:rsidRDefault="00145B06" w:rsidP="002B0212">
      <w:pPr>
        <w:tabs>
          <w:tab w:val="left" w:pos="289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27" w:type="dxa"/>
        <w:jc w:val="center"/>
        <w:tblLook w:val="04A0" w:firstRow="1" w:lastRow="0" w:firstColumn="1" w:lastColumn="0" w:noHBand="0" w:noVBand="1"/>
      </w:tblPr>
      <w:tblGrid>
        <w:gridCol w:w="3114"/>
        <w:gridCol w:w="3685"/>
        <w:gridCol w:w="1843"/>
        <w:gridCol w:w="2185"/>
      </w:tblGrid>
      <w:tr w:rsidR="00145B06" w:rsidRPr="00145B06" w14:paraId="371DDE9D" w14:textId="62ABDB73" w:rsidTr="00E907CE">
        <w:trPr>
          <w:trHeight w:val="1046"/>
          <w:jc w:val="center"/>
        </w:trPr>
        <w:tc>
          <w:tcPr>
            <w:tcW w:w="3114" w:type="dxa"/>
            <w:shd w:val="clear" w:color="auto" w:fill="FFF2CC" w:themeFill="accent4" w:themeFillTint="33"/>
            <w:noWrap/>
          </w:tcPr>
          <w:p w14:paraId="725ED0AD" w14:textId="63AF414B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  <w:b/>
                <w:bCs/>
              </w:rPr>
              <w:t xml:space="preserve">Tier 1 Schools - </w:t>
            </w:r>
            <w:r w:rsidRPr="00145B06">
              <w:rPr>
                <w:rFonts w:ascii="Arial" w:hAnsi="Arial" w:cs="Arial"/>
                <w:i/>
                <w:iCs/>
              </w:rPr>
              <w:t>Schools in receipt of the most support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3A786094" w14:textId="452D77E6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  <w:b/>
                <w:bCs/>
              </w:rPr>
              <w:t xml:space="preserve">Tier 2 Schools - </w:t>
            </w:r>
            <w:r w:rsidRPr="00145B06">
              <w:rPr>
                <w:rFonts w:ascii="Arial" w:hAnsi="Arial" w:cs="Arial"/>
                <w:i/>
                <w:iCs/>
              </w:rPr>
              <w:t>Schools in receipt of our support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F0C70C0" w14:textId="6DC190F6" w:rsidR="00145B06" w:rsidRPr="00145B06" w:rsidRDefault="00145B06" w:rsidP="00E907CE">
            <w:pPr>
              <w:tabs>
                <w:tab w:val="left" w:pos="435"/>
                <w:tab w:val="left" w:pos="2895"/>
              </w:tabs>
              <w:rPr>
                <w:rFonts w:ascii="Arial" w:hAnsi="Arial" w:cs="Arial"/>
                <w:b/>
                <w:bCs/>
              </w:rPr>
            </w:pPr>
            <w:r w:rsidRPr="00145B06">
              <w:rPr>
                <w:rFonts w:ascii="Arial" w:hAnsi="Arial" w:cs="Arial"/>
                <w:b/>
                <w:bCs/>
              </w:rPr>
              <w:t xml:space="preserve">Tier X Schools </w:t>
            </w:r>
            <w:proofErr w:type="spellStart"/>
            <w:r w:rsidRPr="00145B06">
              <w:rPr>
                <w:rFonts w:ascii="Arial" w:hAnsi="Arial" w:cs="Arial"/>
                <w:i/>
                <w:iCs/>
              </w:rPr>
              <w:t>Schools</w:t>
            </w:r>
            <w:proofErr w:type="spellEnd"/>
            <w:r w:rsidRPr="00145B06">
              <w:rPr>
                <w:rFonts w:ascii="Arial" w:hAnsi="Arial" w:cs="Arial"/>
                <w:i/>
                <w:iCs/>
              </w:rPr>
              <w:t xml:space="preserve"> who can apply for bespoke support</w:t>
            </w:r>
          </w:p>
        </w:tc>
        <w:tc>
          <w:tcPr>
            <w:tcW w:w="2185" w:type="dxa"/>
            <w:shd w:val="clear" w:color="auto" w:fill="FFF2CC" w:themeFill="accent4" w:themeFillTint="33"/>
          </w:tcPr>
          <w:p w14:paraId="760EB52C" w14:textId="3AF69B2B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45B06">
              <w:rPr>
                <w:rFonts w:ascii="Arial" w:hAnsi="Arial" w:cs="Arial"/>
                <w:b/>
                <w:bCs/>
              </w:rPr>
              <w:t>Consortium Colleges</w:t>
            </w:r>
          </w:p>
        </w:tc>
      </w:tr>
      <w:tr w:rsidR="00145B06" w:rsidRPr="00145B06" w14:paraId="57BBF093" w14:textId="2D49567E" w:rsidTr="00145B06">
        <w:trPr>
          <w:trHeight w:val="298"/>
          <w:jc w:val="center"/>
        </w:trPr>
        <w:tc>
          <w:tcPr>
            <w:tcW w:w="3114" w:type="dxa"/>
            <w:noWrap/>
            <w:hideMark/>
          </w:tcPr>
          <w:p w14:paraId="376FD144" w14:textId="5327B926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The Astley Cooper School</w:t>
            </w:r>
          </w:p>
        </w:tc>
        <w:tc>
          <w:tcPr>
            <w:tcW w:w="3685" w:type="dxa"/>
          </w:tcPr>
          <w:p w14:paraId="11C83D36" w14:textId="5E7CE821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The Nobel School</w:t>
            </w:r>
          </w:p>
        </w:tc>
        <w:tc>
          <w:tcPr>
            <w:tcW w:w="1843" w:type="dxa"/>
          </w:tcPr>
          <w:p w14:paraId="0FE7C58D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Hertfordshire Schools that are designated SEND Schools or Education Support Centres (ESCs)</w:t>
            </w:r>
          </w:p>
          <w:p w14:paraId="0B076F37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14:paraId="7187DCD6" w14:textId="18092AEB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North Herts College</w:t>
            </w:r>
          </w:p>
        </w:tc>
      </w:tr>
      <w:tr w:rsidR="00145B06" w:rsidRPr="00145B06" w14:paraId="564C102E" w14:textId="042FFF5F" w:rsidTr="00145B06">
        <w:trPr>
          <w:trHeight w:val="298"/>
          <w:jc w:val="center"/>
        </w:trPr>
        <w:tc>
          <w:tcPr>
            <w:tcW w:w="3114" w:type="dxa"/>
            <w:noWrap/>
            <w:hideMark/>
          </w:tcPr>
          <w:p w14:paraId="60090D32" w14:textId="308ACA2B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45B06">
              <w:rPr>
                <w:rFonts w:ascii="Arial" w:hAnsi="Arial" w:cs="Arial"/>
              </w:rPr>
              <w:t>Adeyfield</w:t>
            </w:r>
            <w:proofErr w:type="spellEnd"/>
            <w:r w:rsidRPr="00145B06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3685" w:type="dxa"/>
          </w:tcPr>
          <w:p w14:paraId="59E96162" w14:textId="78E21938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The Thomas Alleyne School</w:t>
            </w:r>
          </w:p>
        </w:tc>
        <w:tc>
          <w:tcPr>
            <w:tcW w:w="1843" w:type="dxa"/>
            <w:vMerge w:val="restart"/>
          </w:tcPr>
          <w:p w14:paraId="03911675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14:paraId="40649C47" w14:textId="32C0345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West Herts College</w:t>
            </w:r>
          </w:p>
        </w:tc>
      </w:tr>
      <w:tr w:rsidR="00145B06" w:rsidRPr="00145B06" w14:paraId="37D416DD" w14:textId="6ECC358B" w:rsidTr="00145B06">
        <w:trPr>
          <w:trHeight w:val="298"/>
          <w:jc w:val="center"/>
        </w:trPr>
        <w:tc>
          <w:tcPr>
            <w:tcW w:w="3114" w:type="dxa"/>
            <w:noWrap/>
            <w:hideMark/>
          </w:tcPr>
          <w:p w14:paraId="3F158675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The Bushey Academy</w:t>
            </w:r>
          </w:p>
        </w:tc>
        <w:tc>
          <w:tcPr>
            <w:tcW w:w="3685" w:type="dxa"/>
          </w:tcPr>
          <w:p w14:paraId="51C9C6A1" w14:textId="14EE7461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Barclay Academy</w:t>
            </w:r>
          </w:p>
        </w:tc>
        <w:tc>
          <w:tcPr>
            <w:tcW w:w="1843" w:type="dxa"/>
            <w:vMerge/>
          </w:tcPr>
          <w:p w14:paraId="454EECE9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14:paraId="2B2F08F6" w14:textId="12A4C593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Herts Regional College</w:t>
            </w:r>
          </w:p>
        </w:tc>
      </w:tr>
      <w:tr w:rsidR="00145B06" w:rsidRPr="00145B06" w14:paraId="1EFC5675" w14:textId="46779BC2" w:rsidTr="00145B06">
        <w:trPr>
          <w:trHeight w:val="298"/>
          <w:jc w:val="center"/>
        </w:trPr>
        <w:tc>
          <w:tcPr>
            <w:tcW w:w="3114" w:type="dxa"/>
            <w:noWrap/>
            <w:hideMark/>
          </w:tcPr>
          <w:p w14:paraId="5E7DE663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45B06">
              <w:rPr>
                <w:rFonts w:ascii="Arial" w:hAnsi="Arial" w:cs="Arial"/>
              </w:rPr>
              <w:t>Marriotts</w:t>
            </w:r>
            <w:proofErr w:type="spellEnd"/>
            <w:r w:rsidRPr="00145B06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3685" w:type="dxa"/>
          </w:tcPr>
          <w:p w14:paraId="613282AA" w14:textId="1AF36A9B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Laureate Academy</w:t>
            </w:r>
          </w:p>
        </w:tc>
        <w:tc>
          <w:tcPr>
            <w:tcW w:w="1843" w:type="dxa"/>
            <w:vMerge/>
          </w:tcPr>
          <w:p w14:paraId="52F0874F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14:paraId="759F4BDF" w14:textId="563C5551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Oaklands College</w:t>
            </w:r>
          </w:p>
        </w:tc>
      </w:tr>
      <w:tr w:rsidR="00145B06" w:rsidRPr="00145B06" w14:paraId="3EB23FA5" w14:textId="7B2EA783" w:rsidTr="00145B06">
        <w:trPr>
          <w:trHeight w:val="298"/>
          <w:jc w:val="center"/>
        </w:trPr>
        <w:tc>
          <w:tcPr>
            <w:tcW w:w="3114" w:type="dxa"/>
            <w:noWrap/>
            <w:hideMark/>
          </w:tcPr>
          <w:p w14:paraId="518D8EF5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45B06">
              <w:rPr>
                <w:rFonts w:ascii="Arial" w:hAnsi="Arial" w:cs="Arial"/>
              </w:rPr>
              <w:t>Longdean</w:t>
            </w:r>
            <w:proofErr w:type="spellEnd"/>
            <w:r w:rsidRPr="00145B06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3685" w:type="dxa"/>
          </w:tcPr>
          <w:p w14:paraId="4206AC9D" w14:textId="074D8D16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The John Henry Newman Catholic School*</w:t>
            </w:r>
          </w:p>
        </w:tc>
        <w:tc>
          <w:tcPr>
            <w:tcW w:w="1843" w:type="dxa"/>
            <w:vMerge/>
          </w:tcPr>
          <w:p w14:paraId="091A6AAB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 w:val="restart"/>
          </w:tcPr>
          <w:p w14:paraId="47DD5662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5E956E47" w14:textId="1147C8F1" w:rsidTr="00145B06">
        <w:trPr>
          <w:trHeight w:val="298"/>
          <w:jc w:val="center"/>
        </w:trPr>
        <w:tc>
          <w:tcPr>
            <w:tcW w:w="3114" w:type="dxa"/>
            <w:noWrap/>
            <w:hideMark/>
          </w:tcPr>
          <w:p w14:paraId="57407355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Barnwell School</w:t>
            </w:r>
          </w:p>
        </w:tc>
        <w:tc>
          <w:tcPr>
            <w:tcW w:w="3685" w:type="dxa"/>
          </w:tcPr>
          <w:p w14:paraId="77B5B9D6" w14:textId="452A3120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The JF Kennedy School*</w:t>
            </w:r>
          </w:p>
        </w:tc>
        <w:tc>
          <w:tcPr>
            <w:tcW w:w="1843" w:type="dxa"/>
            <w:vMerge/>
          </w:tcPr>
          <w:p w14:paraId="67917B86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09F48924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15C77FD9" w14:textId="053DD76A" w:rsidTr="00145B06">
        <w:trPr>
          <w:trHeight w:val="298"/>
          <w:jc w:val="center"/>
        </w:trPr>
        <w:tc>
          <w:tcPr>
            <w:tcW w:w="3114" w:type="dxa"/>
            <w:noWrap/>
          </w:tcPr>
          <w:p w14:paraId="597C6F52" w14:textId="7DCF00ED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145B06">
              <w:rPr>
                <w:rFonts w:ascii="Arial" w:hAnsi="Arial" w:cs="Arial"/>
                <w:i/>
                <w:iCs/>
              </w:rPr>
              <w:t>Hertfordshire Virtual Schools</w:t>
            </w:r>
          </w:p>
        </w:tc>
        <w:tc>
          <w:tcPr>
            <w:tcW w:w="3685" w:type="dxa"/>
          </w:tcPr>
          <w:p w14:paraId="55BBED4E" w14:textId="7EAB71F0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145B06">
              <w:rPr>
                <w:rFonts w:ascii="Arial" w:hAnsi="Arial" w:cs="Arial"/>
              </w:rPr>
              <w:t>Hemel Hempstead School*</w:t>
            </w:r>
          </w:p>
        </w:tc>
        <w:tc>
          <w:tcPr>
            <w:tcW w:w="1843" w:type="dxa"/>
            <w:vMerge/>
          </w:tcPr>
          <w:p w14:paraId="5A36E92C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307DACDD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2E421E46" w14:textId="605D6C54" w:rsidTr="00145B06">
        <w:trPr>
          <w:trHeight w:val="298"/>
          <w:jc w:val="center"/>
        </w:trPr>
        <w:tc>
          <w:tcPr>
            <w:tcW w:w="3114" w:type="dxa"/>
            <w:vMerge w:val="restart"/>
            <w:noWrap/>
          </w:tcPr>
          <w:p w14:paraId="74E9C462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779E36EC" w14:textId="123EF1D0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145B06">
              <w:rPr>
                <w:rFonts w:ascii="Arial" w:hAnsi="Arial" w:cs="Arial"/>
              </w:rPr>
              <w:t>Ridgeway Academy</w:t>
            </w:r>
          </w:p>
        </w:tc>
        <w:tc>
          <w:tcPr>
            <w:tcW w:w="1843" w:type="dxa"/>
            <w:vMerge/>
          </w:tcPr>
          <w:p w14:paraId="0D604915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7B11CEBE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6F49F563" w14:textId="7535555E" w:rsidTr="00145B06">
        <w:trPr>
          <w:trHeight w:val="298"/>
          <w:jc w:val="center"/>
        </w:trPr>
        <w:tc>
          <w:tcPr>
            <w:tcW w:w="3114" w:type="dxa"/>
            <w:vMerge/>
            <w:noWrap/>
          </w:tcPr>
          <w:p w14:paraId="174E0EA7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2DCF0AB1" w14:textId="13CF622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145B06">
              <w:rPr>
                <w:rFonts w:ascii="Arial" w:hAnsi="Arial" w:cs="Arial"/>
              </w:rPr>
              <w:t>The Watford UTC</w:t>
            </w:r>
          </w:p>
        </w:tc>
        <w:tc>
          <w:tcPr>
            <w:tcW w:w="1843" w:type="dxa"/>
            <w:vMerge/>
          </w:tcPr>
          <w:p w14:paraId="57D1C01E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1A18EB37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68CEB22D" w14:textId="49045E65" w:rsidTr="00145B06">
        <w:trPr>
          <w:trHeight w:val="298"/>
          <w:jc w:val="center"/>
        </w:trPr>
        <w:tc>
          <w:tcPr>
            <w:tcW w:w="3114" w:type="dxa"/>
            <w:vMerge/>
            <w:noWrap/>
          </w:tcPr>
          <w:p w14:paraId="087E282A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1477BFF5" w14:textId="15F51E61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145B06">
              <w:rPr>
                <w:rFonts w:ascii="Arial" w:hAnsi="Arial" w:cs="Arial"/>
              </w:rPr>
              <w:t>The Elstree UTC</w:t>
            </w:r>
          </w:p>
        </w:tc>
        <w:tc>
          <w:tcPr>
            <w:tcW w:w="1843" w:type="dxa"/>
            <w:vMerge/>
          </w:tcPr>
          <w:p w14:paraId="13154F67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47A6121F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5BFA4703" w14:textId="49120966" w:rsidTr="00145B06">
        <w:trPr>
          <w:trHeight w:val="298"/>
          <w:jc w:val="center"/>
        </w:trPr>
        <w:tc>
          <w:tcPr>
            <w:tcW w:w="3114" w:type="dxa"/>
            <w:vMerge/>
            <w:noWrap/>
          </w:tcPr>
          <w:p w14:paraId="681E04E4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4DFBEC2A" w14:textId="779B2928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145B06">
              <w:rPr>
                <w:rFonts w:ascii="Arial" w:hAnsi="Arial" w:cs="Arial"/>
              </w:rPr>
              <w:t>Onslow</w:t>
            </w:r>
            <w:proofErr w:type="spellEnd"/>
            <w:r w:rsidRPr="00145B06">
              <w:rPr>
                <w:rFonts w:ascii="Arial" w:hAnsi="Arial" w:cs="Arial"/>
              </w:rPr>
              <w:t xml:space="preserve"> St Audrey's School</w:t>
            </w:r>
          </w:p>
        </w:tc>
        <w:tc>
          <w:tcPr>
            <w:tcW w:w="1843" w:type="dxa"/>
            <w:vMerge/>
          </w:tcPr>
          <w:p w14:paraId="4AEBB391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53FF7B99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1E3D18E0" w14:textId="0B358BDB" w:rsidTr="00145B06">
        <w:trPr>
          <w:trHeight w:val="298"/>
          <w:jc w:val="center"/>
        </w:trPr>
        <w:tc>
          <w:tcPr>
            <w:tcW w:w="3114" w:type="dxa"/>
            <w:vMerge/>
            <w:noWrap/>
          </w:tcPr>
          <w:p w14:paraId="5C422F98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14B94BB0" w14:textId="1686CD08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145B06">
              <w:rPr>
                <w:rFonts w:ascii="Arial" w:hAnsi="Arial" w:cs="Arial"/>
              </w:rPr>
              <w:t>Fearnhill School</w:t>
            </w:r>
          </w:p>
        </w:tc>
        <w:tc>
          <w:tcPr>
            <w:tcW w:w="1843" w:type="dxa"/>
            <w:vMerge/>
          </w:tcPr>
          <w:p w14:paraId="7E79CA9E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2042F9EC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016197EF" w14:textId="447A9067" w:rsidTr="00145B06">
        <w:trPr>
          <w:trHeight w:val="298"/>
          <w:jc w:val="center"/>
        </w:trPr>
        <w:tc>
          <w:tcPr>
            <w:tcW w:w="3114" w:type="dxa"/>
            <w:vMerge/>
            <w:noWrap/>
          </w:tcPr>
          <w:p w14:paraId="05636441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4D882C55" w14:textId="4C747C2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145B06">
              <w:rPr>
                <w:rFonts w:ascii="Arial" w:hAnsi="Arial" w:cs="Arial"/>
              </w:rPr>
              <w:t>Francis Combe Academy</w:t>
            </w:r>
          </w:p>
        </w:tc>
        <w:tc>
          <w:tcPr>
            <w:tcW w:w="1843" w:type="dxa"/>
            <w:vMerge/>
          </w:tcPr>
          <w:p w14:paraId="5748144B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2D0285B4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0B53C866" w14:textId="54D00C67" w:rsidTr="00145B06">
        <w:trPr>
          <w:trHeight w:val="298"/>
          <w:jc w:val="center"/>
        </w:trPr>
        <w:tc>
          <w:tcPr>
            <w:tcW w:w="3114" w:type="dxa"/>
            <w:vMerge/>
            <w:noWrap/>
          </w:tcPr>
          <w:p w14:paraId="6157CD00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7D0FE3A6" w14:textId="2BCBD29D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145B06">
              <w:rPr>
                <w:rFonts w:ascii="Arial" w:hAnsi="Arial" w:cs="Arial"/>
              </w:rPr>
              <w:t xml:space="preserve">Haileybury </w:t>
            </w:r>
            <w:proofErr w:type="spellStart"/>
            <w:r w:rsidRPr="00145B06">
              <w:rPr>
                <w:rFonts w:ascii="Arial" w:hAnsi="Arial" w:cs="Arial"/>
              </w:rPr>
              <w:t>Turnford</w:t>
            </w:r>
            <w:proofErr w:type="spellEnd"/>
          </w:p>
        </w:tc>
        <w:tc>
          <w:tcPr>
            <w:tcW w:w="1843" w:type="dxa"/>
            <w:vMerge/>
          </w:tcPr>
          <w:p w14:paraId="338FEA65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4C78A63B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4623035E" w14:textId="4B8E04F7" w:rsidTr="00145B06">
        <w:trPr>
          <w:trHeight w:val="298"/>
          <w:jc w:val="center"/>
        </w:trPr>
        <w:tc>
          <w:tcPr>
            <w:tcW w:w="3114" w:type="dxa"/>
            <w:vMerge/>
            <w:noWrap/>
          </w:tcPr>
          <w:p w14:paraId="6B2496CD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75BA3420" w14:textId="484517D9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145B06">
              <w:rPr>
                <w:rFonts w:ascii="Arial" w:hAnsi="Arial" w:cs="Arial"/>
              </w:rPr>
              <w:t>The Highfield School</w:t>
            </w:r>
          </w:p>
        </w:tc>
        <w:tc>
          <w:tcPr>
            <w:tcW w:w="1843" w:type="dxa"/>
            <w:vMerge/>
          </w:tcPr>
          <w:p w14:paraId="6AB44FC3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22616846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  <w:tr w:rsidR="00145B06" w:rsidRPr="00145B06" w14:paraId="1108CEDC" w14:textId="0DEA1887" w:rsidTr="00145B06">
        <w:trPr>
          <w:trHeight w:val="298"/>
          <w:jc w:val="center"/>
        </w:trPr>
        <w:tc>
          <w:tcPr>
            <w:tcW w:w="3114" w:type="dxa"/>
            <w:vMerge/>
            <w:noWrap/>
          </w:tcPr>
          <w:p w14:paraId="4FFC1846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153C072E" w14:textId="19F49A0D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45B06">
              <w:rPr>
                <w:rFonts w:ascii="Arial" w:hAnsi="Arial" w:cs="Arial"/>
              </w:rPr>
              <w:t>Stanborough</w:t>
            </w:r>
            <w:proofErr w:type="spellEnd"/>
            <w:r w:rsidRPr="00145B06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1843" w:type="dxa"/>
            <w:vMerge/>
          </w:tcPr>
          <w:p w14:paraId="1527AF04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68BBB760" w14:textId="77777777" w:rsidR="00145B06" w:rsidRPr="00145B06" w:rsidRDefault="00145B06" w:rsidP="00145B06">
            <w:pPr>
              <w:tabs>
                <w:tab w:val="left" w:pos="435"/>
                <w:tab w:val="left" w:pos="289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38639FE" w14:textId="2F6BBBF6" w:rsidR="00DF40DF" w:rsidRPr="00145B06" w:rsidRDefault="00DF40DF" w:rsidP="00DF40DF">
      <w:pPr>
        <w:rPr>
          <w:rFonts w:ascii="Arial" w:hAnsi="Arial" w:cs="Arial"/>
        </w:rPr>
      </w:pPr>
    </w:p>
    <w:p w14:paraId="0EA99461" w14:textId="77777777" w:rsidR="00145B06" w:rsidRPr="00145B06" w:rsidRDefault="00145B06" w:rsidP="00DF40DF">
      <w:pPr>
        <w:rPr>
          <w:rFonts w:ascii="Arial" w:hAnsi="Arial" w:cs="Arial"/>
          <w:b/>
          <w:bCs/>
        </w:rPr>
      </w:pPr>
    </w:p>
    <w:p w14:paraId="3ECCD93F" w14:textId="77777777" w:rsidR="00145B06" w:rsidRDefault="00145B06" w:rsidP="00DF40DF">
      <w:pPr>
        <w:rPr>
          <w:rFonts w:ascii="Arial" w:hAnsi="Arial" w:cs="Arial"/>
          <w:b/>
          <w:bCs/>
          <w:sz w:val="28"/>
          <w:szCs w:val="28"/>
        </w:rPr>
      </w:pPr>
    </w:p>
    <w:p w14:paraId="67C266EC" w14:textId="77777777" w:rsidR="00E907CE" w:rsidRDefault="00E907CE" w:rsidP="00DF40DF">
      <w:pPr>
        <w:rPr>
          <w:rFonts w:ascii="Arial" w:hAnsi="Arial" w:cs="Arial"/>
          <w:b/>
          <w:bCs/>
          <w:sz w:val="28"/>
          <w:szCs w:val="28"/>
        </w:rPr>
      </w:pPr>
    </w:p>
    <w:p w14:paraId="53169B6A" w14:textId="35E33058" w:rsidR="00DF40DF" w:rsidRPr="00145B06" w:rsidRDefault="00DF40DF" w:rsidP="00DF40DF">
      <w:pPr>
        <w:rPr>
          <w:rFonts w:ascii="Arial" w:hAnsi="Arial" w:cs="Arial"/>
          <w:b/>
          <w:bCs/>
          <w:sz w:val="28"/>
          <w:szCs w:val="28"/>
        </w:rPr>
      </w:pPr>
      <w:r w:rsidRPr="00145B06">
        <w:rPr>
          <w:rFonts w:ascii="Arial" w:hAnsi="Arial" w:cs="Arial"/>
          <w:b/>
          <w:bCs/>
          <w:sz w:val="28"/>
          <w:szCs w:val="28"/>
        </w:rPr>
        <w:lastRenderedPageBreak/>
        <w:t>Explanation of the selection of Tier 1 and Tier 2 Schools.</w:t>
      </w:r>
    </w:p>
    <w:p w14:paraId="28C94901" w14:textId="419D88AD" w:rsidR="006F3362" w:rsidRPr="00145B06" w:rsidRDefault="00DF40DF" w:rsidP="00DF40DF">
      <w:pPr>
        <w:rPr>
          <w:rFonts w:ascii="Arial" w:hAnsi="Arial" w:cs="Arial"/>
        </w:rPr>
      </w:pPr>
      <w:r w:rsidRPr="00145B06">
        <w:rPr>
          <w:rFonts w:ascii="Arial" w:hAnsi="Arial" w:cs="Arial"/>
        </w:rPr>
        <w:t xml:space="preserve">Many different criteria was used in the selection of our schools. Notably percentage of Free School Meals (FSM), Progress </w:t>
      </w:r>
      <w:r w:rsidR="002E35B7" w:rsidRPr="00145B06">
        <w:rPr>
          <w:rFonts w:ascii="Arial" w:hAnsi="Arial" w:cs="Arial"/>
        </w:rPr>
        <w:t xml:space="preserve">and Attainment </w:t>
      </w:r>
      <w:r w:rsidRPr="00145B06">
        <w:rPr>
          <w:rFonts w:ascii="Arial" w:hAnsi="Arial" w:cs="Arial"/>
        </w:rPr>
        <w:t>8 scores, percentage of students achieving 5+ at GCSE (</w:t>
      </w:r>
      <w:proofErr w:type="spellStart"/>
      <w:r w:rsidRPr="00145B06">
        <w:rPr>
          <w:rFonts w:ascii="Arial" w:hAnsi="Arial" w:cs="Arial"/>
        </w:rPr>
        <w:t>Eng</w:t>
      </w:r>
      <w:proofErr w:type="spellEnd"/>
      <w:r w:rsidRPr="00145B06">
        <w:rPr>
          <w:rFonts w:ascii="Arial" w:hAnsi="Arial" w:cs="Arial"/>
        </w:rPr>
        <w:t xml:space="preserve"> &amp; Maths) and </w:t>
      </w:r>
      <w:r w:rsidR="006F3362" w:rsidRPr="00145B06">
        <w:rPr>
          <w:rFonts w:ascii="Arial" w:hAnsi="Arial" w:cs="Arial"/>
        </w:rPr>
        <w:t>Uni Connect target schools student population data</w:t>
      </w:r>
      <w:r w:rsidR="48F61E72" w:rsidRPr="00145B06">
        <w:rPr>
          <w:rFonts w:ascii="Arial" w:hAnsi="Arial" w:cs="Arial"/>
        </w:rPr>
        <w:t xml:space="preserve"> set by the Office for Students</w:t>
      </w:r>
      <w:r w:rsidR="006F3362" w:rsidRPr="00145B06">
        <w:rPr>
          <w:rFonts w:ascii="Arial" w:hAnsi="Arial" w:cs="Arial"/>
        </w:rPr>
        <w:t>.</w:t>
      </w:r>
    </w:p>
    <w:p w14:paraId="57C65DDC" w14:textId="5EA5152E" w:rsidR="006F3362" w:rsidRPr="00145B06" w:rsidRDefault="006F3362" w:rsidP="00DF40DF">
      <w:pPr>
        <w:rPr>
          <w:rFonts w:ascii="Arial" w:hAnsi="Arial" w:cs="Arial"/>
        </w:rPr>
      </w:pPr>
      <w:r w:rsidRPr="00145B06">
        <w:rPr>
          <w:rFonts w:ascii="Arial" w:hAnsi="Arial" w:cs="Arial"/>
        </w:rPr>
        <w:t>‘Score ranking data’ was calculated based on the following weightings:</w:t>
      </w:r>
    </w:p>
    <w:p w14:paraId="60CBBA1B" w14:textId="0025BD2D" w:rsidR="006F3362" w:rsidRPr="00145B06" w:rsidRDefault="006F3362" w:rsidP="006F33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5B06">
        <w:rPr>
          <w:rFonts w:ascii="Arial" w:hAnsi="Arial" w:cs="Arial"/>
        </w:rPr>
        <w:t>Free School Meals percentage was multiplied by 0.5 to reduce its weighting</w:t>
      </w:r>
    </w:p>
    <w:p w14:paraId="42D70864" w14:textId="0962A555" w:rsidR="006F3362" w:rsidRPr="00145B06" w:rsidRDefault="006F3362" w:rsidP="006F33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5B06">
        <w:rPr>
          <w:rFonts w:ascii="Arial" w:hAnsi="Arial" w:cs="Arial"/>
        </w:rPr>
        <w:t>Attainment 8 score was multiplied by 1.5 to increase its weighting</w:t>
      </w:r>
    </w:p>
    <w:p w14:paraId="286D57D7" w14:textId="3006B1EA" w:rsidR="006F3362" w:rsidRPr="00145B06" w:rsidRDefault="006F3362" w:rsidP="006F33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5B06">
        <w:rPr>
          <w:rFonts w:ascii="Arial" w:hAnsi="Arial" w:cs="Arial"/>
        </w:rPr>
        <w:t>GCSE 5+ at English and Maths was multiplied for 0.5 to reduce its weighting</w:t>
      </w:r>
    </w:p>
    <w:p w14:paraId="0BE42F29" w14:textId="27131E0C" w:rsidR="006F3362" w:rsidRPr="00145B06" w:rsidRDefault="006F3362" w:rsidP="006F3362">
      <w:pPr>
        <w:rPr>
          <w:rFonts w:ascii="Arial" w:hAnsi="Arial" w:cs="Arial"/>
          <w:i/>
          <w:iCs/>
        </w:rPr>
      </w:pPr>
      <w:r w:rsidRPr="00145B06">
        <w:rPr>
          <w:rFonts w:ascii="Arial" w:hAnsi="Arial" w:cs="Arial"/>
          <w:i/>
          <w:iCs/>
        </w:rPr>
        <w:t>Therefore, the single most important factor to calculate our ‘Score ranking data’ was a schools Attainment 8 score.</w:t>
      </w:r>
    </w:p>
    <w:p w14:paraId="2374884E" w14:textId="715FA76F" w:rsidR="006F3362" w:rsidRPr="00145B06" w:rsidRDefault="006F3362" w:rsidP="006F3362">
      <w:pPr>
        <w:rPr>
          <w:rFonts w:ascii="Arial" w:hAnsi="Arial" w:cs="Arial"/>
        </w:rPr>
      </w:pPr>
      <w:r w:rsidRPr="00145B06">
        <w:rPr>
          <w:rFonts w:ascii="Arial" w:hAnsi="Arial" w:cs="Arial"/>
        </w:rPr>
        <w:t>A school</w:t>
      </w:r>
      <w:r w:rsidR="004C2C2B" w:rsidRPr="00145B06">
        <w:rPr>
          <w:rFonts w:ascii="Arial" w:hAnsi="Arial" w:cs="Arial"/>
        </w:rPr>
        <w:t>’</w:t>
      </w:r>
      <w:r w:rsidRPr="00145B06">
        <w:rPr>
          <w:rFonts w:ascii="Arial" w:hAnsi="Arial" w:cs="Arial"/>
        </w:rPr>
        <w:t>s percentage of eligible Uni Connect (Aspire Higher) students was included to select Tier 1 Schools.</w:t>
      </w:r>
      <w:r w:rsidR="1674AE18" w:rsidRPr="00145B06">
        <w:rPr>
          <w:rFonts w:ascii="Arial" w:hAnsi="Arial" w:cs="Arial"/>
        </w:rPr>
        <w:t xml:space="preserve"> This is in line with our commitment to support the targets laid out in the Office for Students Uni Connec</w:t>
      </w:r>
      <w:r w:rsidR="7BB01F7A" w:rsidRPr="00145B06">
        <w:rPr>
          <w:rFonts w:ascii="Arial" w:hAnsi="Arial" w:cs="Arial"/>
        </w:rPr>
        <w:t>t programme.</w:t>
      </w:r>
    </w:p>
    <w:p w14:paraId="4FD35988" w14:textId="17058686" w:rsidR="00DF40DF" w:rsidRPr="00145B06" w:rsidRDefault="006F3362" w:rsidP="00DF40DF">
      <w:pPr>
        <w:rPr>
          <w:rFonts w:ascii="Arial" w:hAnsi="Arial" w:cs="Arial"/>
        </w:rPr>
      </w:pPr>
      <w:r w:rsidRPr="00145B06">
        <w:rPr>
          <w:rFonts w:ascii="Arial" w:hAnsi="Arial" w:cs="Arial"/>
          <w:b/>
          <w:bCs/>
        </w:rPr>
        <w:t>Tier 1 School</w:t>
      </w:r>
      <w:r w:rsidR="00CD564E" w:rsidRPr="00145B06">
        <w:rPr>
          <w:rFonts w:ascii="Arial" w:hAnsi="Arial" w:cs="Arial"/>
          <w:b/>
          <w:bCs/>
        </w:rPr>
        <w:t>s</w:t>
      </w:r>
      <w:r w:rsidRPr="00145B06">
        <w:rPr>
          <w:rFonts w:ascii="Arial" w:hAnsi="Arial" w:cs="Arial"/>
        </w:rPr>
        <w:t xml:space="preserve"> were selected due </w:t>
      </w:r>
      <w:r w:rsidR="00005F9E">
        <w:rPr>
          <w:rFonts w:ascii="Arial" w:hAnsi="Arial" w:cs="Arial"/>
        </w:rPr>
        <w:t xml:space="preserve">to </w:t>
      </w:r>
      <w:bookmarkStart w:id="0" w:name="_GoBack"/>
      <w:bookmarkEnd w:id="0"/>
      <w:r w:rsidRPr="00145B06">
        <w:rPr>
          <w:rFonts w:ascii="Arial" w:hAnsi="Arial" w:cs="Arial"/>
        </w:rPr>
        <w:t>their high level of Uni Connect eligible students along with their ‘score ranking data’.</w:t>
      </w:r>
    </w:p>
    <w:p w14:paraId="671AF666" w14:textId="77970558" w:rsidR="002E35B7" w:rsidRPr="00145B06" w:rsidRDefault="006F3362" w:rsidP="00DF40DF">
      <w:pPr>
        <w:rPr>
          <w:rFonts w:ascii="Arial" w:hAnsi="Arial" w:cs="Arial"/>
        </w:rPr>
      </w:pPr>
      <w:r w:rsidRPr="00145B06">
        <w:rPr>
          <w:rFonts w:ascii="Arial" w:hAnsi="Arial" w:cs="Arial"/>
          <w:b/>
          <w:bCs/>
        </w:rPr>
        <w:t>Tier 2 Schools</w:t>
      </w:r>
      <w:r w:rsidRPr="00145B06">
        <w:rPr>
          <w:rFonts w:ascii="Arial" w:hAnsi="Arial" w:cs="Arial"/>
        </w:rPr>
        <w:t xml:space="preserve"> were selected due to their ‘score ranking data’ but also contains schools </w:t>
      </w:r>
      <w:r w:rsidR="002E35B7" w:rsidRPr="00145B06">
        <w:rPr>
          <w:rFonts w:ascii="Arial" w:hAnsi="Arial" w:cs="Arial"/>
        </w:rPr>
        <w:t xml:space="preserve">with </w:t>
      </w:r>
      <w:r w:rsidRPr="00145B06">
        <w:rPr>
          <w:rFonts w:ascii="Arial" w:hAnsi="Arial" w:cs="Arial"/>
        </w:rPr>
        <w:t>lower percentages of Uni Connect eligible students</w:t>
      </w:r>
    </w:p>
    <w:p w14:paraId="7490CAF4" w14:textId="49926C97" w:rsidR="00716088" w:rsidRPr="00145B06" w:rsidRDefault="002E35B7" w:rsidP="00145B06">
      <w:pPr>
        <w:ind w:left="720"/>
        <w:rPr>
          <w:rFonts w:ascii="Arial" w:hAnsi="Arial" w:cs="Arial"/>
        </w:rPr>
      </w:pPr>
      <w:r w:rsidRPr="00145B06">
        <w:rPr>
          <w:rFonts w:ascii="Arial" w:hAnsi="Arial" w:cs="Arial"/>
        </w:rPr>
        <w:t>*  Tier 2 Schools with very low percentages of Uni Connect eligible students. These Schools will receive a reduced level of support that purely targets Uni Connect eligible students.</w:t>
      </w:r>
    </w:p>
    <w:p w14:paraId="75424ECB" w14:textId="7BBE1B0C" w:rsidR="002E35B7" w:rsidRPr="00145B06" w:rsidRDefault="002E35B7" w:rsidP="002E35B7">
      <w:pPr>
        <w:rPr>
          <w:rFonts w:ascii="Arial" w:hAnsi="Arial" w:cs="Arial"/>
        </w:rPr>
      </w:pPr>
      <w:r w:rsidRPr="00145B06">
        <w:rPr>
          <w:rFonts w:ascii="Arial" w:hAnsi="Arial" w:cs="Arial"/>
        </w:rPr>
        <w:t xml:space="preserve">This ‘score ranking data’ will be reviewed </w:t>
      </w:r>
      <w:r w:rsidR="00E65709" w:rsidRPr="00145B06">
        <w:rPr>
          <w:rFonts w:ascii="Arial" w:hAnsi="Arial" w:cs="Arial"/>
        </w:rPr>
        <w:t>every</w:t>
      </w:r>
      <w:r w:rsidRPr="00145B06">
        <w:rPr>
          <w:rFonts w:ascii="Arial" w:hAnsi="Arial" w:cs="Arial"/>
        </w:rPr>
        <w:t xml:space="preserve"> 2 years to ensure we are continuing to target schools most in need of our support.</w:t>
      </w:r>
    </w:p>
    <w:p w14:paraId="04C142E4" w14:textId="525D9547" w:rsidR="00E65709" w:rsidRPr="00145B06" w:rsidRDefault="00E65709" w:rsidP="103009B3">
      <w:pPr>
        <w:rPr>
          <w:rFonts w:ascii="Arial" w:hAnsi="Arial" w:cs="Arial"/>
          <w:b/>
          <w:bCs/>
          <w:sz w:val="28"/>
          <w:szCs w:val="28"/>
        </w:rPr>
      </w:pPr>
      <w:r w:rsidRPr="00145B06">
        <w:rPr>
          <w:rFonts w:ascii="Arial" w:hAnsi="Arial" w:cs="Arial"/>
          <w:b/>
          <w:bCs/>
          <w:sz w:val="28"/>
          <w:szCs w:val="28"/>
        </w:rPr>
        <w:t xml:space="preserve">Schools no longer </w:t>
      </w:r>
      <w:r w:rsidR="7AC31B3B" w:rsidRPr="00145B06">
        <w:rPr>
          <w:rFonts w:ascii="Arial" w:hAnsi="Arial" w:cs="Arial"/>
          <w:b/>
          <w:bCs/>
          <w:sz w:val="28"/>
          <w:szCs w:val="28"/>
        </w:rPr>
        <w:t>in Tier 1 or 2</w:t>
      </w:r>
    </w:p>
    <w:p w14:paraId="483E1120" w14:textId="4FD9C7DA" w:rsidR="00E65709" w:rsidRPr="00145B06" w:rsidRDefault="00E65709" w:rsidP="002E35B7">
      <w:pPr>
        <w:rPr>
          <w:rFonts w:ascii="Arial" w:hAnsi="Arial" w:cs="Arial"/>
        </w:rPr>
      </w:pPr>
      <w:r w:rsidRPr="00145B06">
        <w:rPr>
          <w:rFonts w:ascii="Arial" w:hAnsi="Arial" w:cs="Arial"/>
        </w:rPr>
        <w:t xml:space="preserve">Schools who were previously supported by our WA team will now be supported by the University of Hertfordshire’s Education Liaison Team. </w:t>
      </w:r>
      <w:r w:rsidR="08942842" w:rsidRPr="00145B06">
        <w:rPr>
          <w:rFonts w:ascii="Arial" w:hAnsi="Arial" w:cs="Arial"/>
        </w:rPr>
        <w:t>However, access to our online provision will remain available</w:t>
      </w:r>
      <w:r w:rsidR="02D4DC65" w:rsidRPr="00145B06">
        <w:rPr>
          <w:rFonts w:ascii="Arial" w:hAnsi="Arial" w:cs="Arial"/>
        </w:rPr>
        <w:t xml:space="preserve"> to all Hertfordshire Schools.</w:t>
      </w:r>
    </w:p>
    <w:p w14:paraId="019D6E19" w14:textId="531E4D2D" w:rsidR="00E65709" w:rsidRPr="00145B06" w:rsidRDefault="00E65709" w:rsidP="002E35B7">
      <w:pPr>
        <w:rPr>
          <w:rFonts w:ascii="Arial" w:hAnsi="Arial" w:cs="Arial"/>
        </w:rPr>
      </w:pPr>
      <w:r w:rsidRPr="00145B06">
        <w:rPr>
          <w:rFonts w:ascii="Arial" w:hAnsi="Arial" w:cs="Arial"/>
        </w:rPr>
        <w:t>The Education Liaison team at the University of Hertfordshire regularly visit schools and colleges offering information, advice and guidance for students about going to university.</w:t>
      </w:r>
    </w:p>
    <w:sectPr w:rsidR="00E65709" w:rsidRPr="00145B06" w:rsidSect="00E4612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F340C"/>
    <w:multiLevelType w:val="hybridMultilevel"/>
    <w:tmpl w:val="ECCAB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4B"/>
    <w:rsid w:val="00005F9E"/>
    <w:rsid w:val="000217A3"/>
    <w:rsid w:val="00061BA0"/>
    <w:rsid w:val="00145B06"/>
    <w:rsid w:val="0019342E"/>
    <w:rsid w:val="002B0212"/>
    <w:rsid w:val="002E35B7"/>
    <w:rsid w:val="003D50B5"/>
    <w:rsid w:val="004910DE"/>
    <w:rsid w:val="004C2C2B"/>
    <w:rsid w:val="004D716B"/>
    <w:rsid w:val="00583814"/>
    <w:rsid w:val="0059354B"/>
    <w:rsid w:val="006917CE"/>
    <w:rsid w:val="006F3362"/>
    <w:rsid w:val="00716088"/>
    <w:rsid w:val="00754F9B"/>
    <w:rsid w:val="008E3541"/>
    <w:rsid w:val="00C327AB"/>
    <w:rsid w:val="00CD564E"/>
    <w:rsid w:val="00DF40DF"/>
    <w:rsid w:val="00E46122"/>
    <w:rsid w:val="00E65709"/>
    <w:rsid w:val="00E907CE"/>
    <w:rsid w:val="00F00FBB"/>
    <w:rsid w:val="00F2197C"/>
    <w:rsid w:val="02D4DC65"/>
    <w:rsid w:val="08942842"/>
    <w:rsid w:val="103009B3"/>
    <w:rsid w:val="1674AE18"/>
    <w:rsid w:val="185B8B30"/>
    <w:rsid w:val="22EE6346"/>
    <w:rsid w:val="239C4580"/>
    <w:rsid w:val="27CB9551"/>
    <w:rsid w:val="322B43A7"/>
    <w:rsid w:val="3930431A"/>
    <w:rsid w:val="39A267A2"/>
    <w:rsid w:val="467131B8"/>
    <w:rsid w:val="48F61E72"/>
    <w:rsid w:val="4AC4692E"/>
    <w:rsid w:val="4D656F24"/>
    <w:rsid w:val="50A3652E"/>
    <w:rsid w:val="51A619F5"/>
    <w:rsid w:val="561AACC6"/>
    <w:rsid w:val="5AEFC3DE"/>
    <w:rsid w:val="5EC46EC9"/>
    <w:rsid w:val="7AC31B3B"/>
    <w:rsid w:val="7BB0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B12F"/>
  <w15:chartTrackingRefBased/>
  <w15:docId w15:val="{D75C11CD-30B6-4A97-B537-5CF42296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2"/>
    <w:pPr>
      <w:ind w:left="720"/>
      <w:contextualSpacing/>
    </w:pPr>
  </w:style>
  <w:style w:type="paragraph" w:customStyle="1" w:styleId="paragraph">
    <w:name w:val="paragraph"/>
    <w:basedOn w:val="Normal"/>
    <w:rsid w:val="004D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D716B"/>
  </w:style>
  <w:style w:type="character" w:customStyle="1" w:styleId="eop">
    <w:name w:val="eop"/>
    <w:basedOn w:val="DefaultParagraphFont"/>
    <w:rsid w:val="004D716B"/>
  </w:style>
  <w:style w:type="character" w:styleId="Hyperlink">
    <w:name w:val="Hyperlink"/>
    <w:basedOn w:val="DefaultParagraphFont"/>
    <w:uiPriority w:val="99"/>
    <w:unhideWhenUsed/>
    <w:rsid w:val="008E3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rts.ac.uk/__data/assets/pdf_file/0010/279271/UniversityOfHertfordshire_APP_2020-21_V1_1000714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474641-ec36-472f-b125-6b1b0910eaa4">
      <UserInfo>
        <DisplayName>Nuala O'Flynn</DisplayName>
        <AccountId>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BA85F447B164191BB36C258697B67" ma:contentTypeVersion="12" ma:contentTypeDescription="Create a new document." ma:contentTypeScope="" ma:versionID="9c64b9beceb28b970e9d889a5c6f58e9">
  <xsd:schema xmlns:xsd="http://www.w3.org/2001/XMLSchema" xmlns:xs="http://www.w3.org/2001/XMLSchema" xmlns:p="http://schemas.microsoft.com/office/2006/metadata/properties" xmlns:ns2="4ad138b4-2b68-4b70-945d-07f8f18b1c9a" xmlns:ns3="3c474641-ec36-472f-b125-6b1b0910eaa4" targetNamespace="http://schemas.microsoft.com/office/2006/metadata/properties" ma:root="true" ma:fieldsID="4cf9f1c144ff9a17f5beee9e67251572" ns2:_="" ns3:_="">
    <xsd:import namespace="4ad138b4-2b68-4b70-945d-07f8f18b1c9a"/>
    <xsd:import namespace="3c474641-ec36-472f-b125-6b1b0910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138b4-2b68-4b70-945d-07f8f18b1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4641-ec36-472f-b125-6b1b0910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74B6E-B537-4572-BD4B-10A0CEB31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2E64E-A9A7-4728-95BA-BBD08533AE62}">
  <ds:schemaRefs>
    <ds:schemaRef ds:uri="http://schemas.microsoft.com/office/2006/metadata/properties"/>
    <ds:schemaRef ds:uri="http://schemas.microsoft.com/office/infopath/2007/PartnerControls"/>
    <ds:schemaRef ds:uri="3c474641-ec36-472f-b125-6b1b0910eaa4"/>
  </ds:schemaRefs>
</ds:datastoreItem>
</file>

<file path=customXml/itemProps3.xml><?xml version="1.0" encoding="utf-8"?>
<ds:datastoreItem xmlns:ds="http://schemas.openxmlformats.org/officeDocument/2006/customXml" ds:itemID="{E7B37CBA-F4BE-48BA-A1A9-A0203D706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138b4-2b68-4b70-945d-07f8f18b1c9a"/>
    <ds:schemaRef ds:uri="3c474641-ec36-472f-b125-6b1b0910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Howell</dc:creator>
  <cp:keywords/>
  <dc:description/>
  <cp:lastModifiedBy>Laide Bissessar</cp:lastModifiedBy>
  <cp:revision>3</cp:revision>
  <dcterms:created xsi:type="dcterms:W3CDTF">2021-09-01T13:18:00Z</dcterms:created>
  <dcterms:modified xsi:type="dcterms:W3CDTF">2021-10-08T08:39:00Z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0x01010026DBA85F447B164191BB36C258697B67</vt:lpwstr>
  </property>
</Properties>
</file>