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81017" w14:textId="77777777" w:rsidR="004D69DC" w:rsidRPr="00721AF0" w:rsidRDefault="004D69DC" w:rsidP="00721AF0">
      <w:pPr>
        <w:rPr>
          <w:color w:val="8EAADB" w:themeColor="accent1" w:themeTint="99"/>
          <w:sz w:val="36"/>
          <w:szCs w:val="36"/>
        </w:rPr>
      </w:pPr>
    </w:p>
    <w:p w14:paraId="7A6DF23B" w14:textId="77777777" w:rsidR="004D69DC" w:rsidRPr="00721AF0" w:rsidRDefault="004D69DC" w:rsidP="00721AF0">
      <w:pPr>
        <w:rPr>
          <w:color w:val="000000" w:themeColor="text1"/>
          <w:sz w:val="32"/>
          <w:szCs w:val="32"/>
        </w:rPr>
      </w:pPr>
      <w:bookmarkStart w:id="0" w:name="__Appendix_B_"/>
      <w:bookmarkEnd w:id="0"/>
      <w:r w:rsidRPr="00721AF0">
        <w:rPr>
          <w:color w:val="000000" w:themeColor="text1"/>
          <w:sz w:val="32"/>
          <w:szCs w:val="32"/>
        </w:rPr>
        <w:t>Framework for Open Access (OA) at University of Hertfordshire (UH)</w:t>
      </w:r>
    </w:p>
    <w:p w14:paraId="0A5FF784" w14:textId="77777777" w:rsidR="004D69DC" w:rsidRPr="00307753" w:rsidRDefault="004D69DC"/>
    <w:p w14:paraId="5CEE05F6" w14:textId="77777777" w:rsidR="004D69DC" w:rsidRPr="00307753" w:rsidRDefault="004D69DC"/>
    <w:p w14:paraId="3355CE57" w14:textId="77777777" w:rsidR="00B813E1" w:rsidRPr="00307753" w:rsidRDefault="00B813E1" w:rsidP="004D69DC"/>
    <w:p w14:paraId="23C6266F" w14:textId="77777777" w:rsidR="00B813E1" w:rsidRPr="00307753" w:rsidRDefault="00B813E1" w:rsidP="004D69DC"/>
    <w:p w14:paraId="57D5B06E" w14:textId="3BDE54C9" w:rsidR="004D69DC" w:rsidRPr="00307753" w:rsidRDefault="004D69DC" w:rsidP="004D69DC"/>
    <w:p w14:paraId="283C1370" w14:textId="629D833D" w:rsidR="00B813E1" w:rsidRPr="00307753" w:rsidRDefault="00EC616E" w:rsidP="00994499">
      <w:pPr>
        <w:ind w:left="1440" w:hanging="1440"/>
      </w:pPr>
      <w:r w:rsidRPr="00307753">
        <w:rPr>
          <w:b/>
          <w:bCs/>
        </w:rPr>
        <w:t>S</w:t>
      </w:r>
      <w:r w:rsidR="003C6A5C" w:rsidRPr="00307753">
        <w:rPr>
          <w:b/>
          <w:bCs/>
        </w:rPr>
        <w:t>ynopsis</w:t>
      </w:r>
      <w:r w:rsidR="00D80605" w:rsidRPr="00307753">
        <w:rPr>
          <w:b/>
          <w:bCs/>
        </w:rPr>
        <w:tab/>
      </w:r>
      <w:r w:rsidR="00B813E1" w:rsidRPr="00307753">
        <w:t>This document describes the policy, resources, processes</w:t>
      </w:r>
      <w:r w:rsidR="00B07084" w:rsidRPr="00307753">
        <w:t xml:space="preserve"> and</w:t>
      </w:r>
      <w:r w:rsidR="00B813E1" w:rsidRPr="00307753">
        <w:t xml:space="preserve"> reporting that support Open Access at the University of Hertfordshire. </w:t>
      </w:r>
    </w:p>
    <w:p w14:paraId="2F64D706" w14:textId="77777777" w:rsidR="00EC616E" w:rsidRPr="00307753" w:rsidRDefault="00EC616E" w:rsidP="00EC616E"/>
    <w:p w14:paraId="4259799C" w14:textId="5323F8C7" w:rsidR="00EC616E" w:rsidRPr="00307753" w:rsidRDefault="00EC616E" w:rsidP="00994499">
      <w:pPr>
        <w:ind w:left="1440" w:hanging="1440"/>
      </w:pPr>
      <w:r w:rsidRPr="00307753">
        <w:rPr>
          <w:b/>
          <w:bCs/>
        </w:rPr>
        <w:t>Audience</w:t>
      </w:r>
      <w:r w:rsidR="00D80605" w:rsidRPr="00307753">
        <w:rPr>
          <w:b/>
          <w:bCs/>
        </w:rPr>
        <w:tab/>
      </w:r>
      <w:r w:rsidRPr="00307753">
        <w:rPr>
          <w:rFonts w:eastAsia="Calibri" w:cs="Calibri"/>
        </w:rPr>
        <w:t xml:space="preserve">Pro Vice-Chancellor's Research Management Group; Library and Computing Services Board; Research Managers.  </w:t>
      </w:r>
    </w:p>
    <w:p w14:paraId="5B678147" w14:textId="2CD76DF7" w:rsidR="004D69DC" w:rsidRPr="00307753" w:rsidRDefault="004D69DC" w:rsidP="004D69DC"/>
    <w:p w14:paraId="47104F81" w14:textId="1737EE40" w:rsidR="00EC616E" w:rsidRDefault="00EC616E" w:rsidP="00EC616E">
      <w:r w:rsidRPr="00307753">
        <w:rPr>
          <w:b/>
          <w:bCs/>
        </w:rPr>
        <w:t>Author</w:t>
      </w:r>
      <w:r w:rsidR="00D80605" w:rsidRPr="00307753">
        <w:rPr>
          <w:b/>
          <w:bCs/>
        </w:rPr>
        <w:tab/>
      </w:r>
      <w:r w:rsidRPr="00307753">
        <w:t xml:space="preserve"> </w:t>
      </w:r>
      <w:r w:rsidR="00D80605" w:rsidRPr="00307753">
        <w:tab/>
      </w:r>
      <w:r w:rsidRPr="00307753">
        <w:t xml:space="preserve">Bill Worthington, Research and Scholarly Communications Manager. </w:t>
      </w:r>
    </w:p>
    <w:p w14:paraId="57BBDA0D" w14:textId="5CA90587" w:rsidR="00B67051" w:rsidRDefault="00B67051" w:rsidP="00EC616E"/>
    <w:p w14:paraId="5B45FFF5" w14:textId="27D9420C" w:rsidR="00B67051" w:rsidRPr="00307753" w:rsidRDefault="00B67051" w:rsidP="00EC616E">
      <w:r w:rsidRPr="00B67051">
        <w:rPr>
          <w:b/>
          <w:bCs/>
        </w:rPr>
        <w:t>Contact</w:t>
      </w:r>
      <w:r>
        <w:tab/>
      </w:r>
      <w:r>
        <w:tab/>
        <w:t>rsc@herts.ac.uk</w:t>
      </w:r>
    </w:p>
    <w:p w14:paraId="5FA26928" w14:textId="74A907DB" w:rsidR="004D69DC" w:rsidRPr="00307753" w:rsidRDefault="004D69DC" w:rsidP="004D69DC"/>
    <w:p w14:paraId="139F6515" w14:textId="3F3E12AF" w:rsidR="004D69DC" w:rsidRPr="00307753" w:rsidRDefault="004D69DC" w:rsidP="004D69DC">
      <w:pPr>
        <w:rPr>
          <w:b/>
          <w:bCs/>
        </w:rPr>
      </w:pPr>
      <w:r w:rsidRPr="00307753">
        <w:rPr>
          <w:b/>
          <w:bCs/>
        </w:rPr>
        <w:t>Version History</w:t>
      </w:r>
    </w:p>
    <w:p w14:paraId="15053617" w14:textId="63C4CFB0" w:rsidR="004D69DC" w:rsidRPr="00307753" w:rsidRDefault="004D69DC" w:rsidP="004D69DC">
      <w:r w:rsidRPr="00307753">
        <w:t xml:space="preserve">Sept 2019, v1, Bill Worthington, synthesis of </w:t>
      </w:r>
      <w:r w:rsidR="00EC616E" w:rsidRPr="00307753">
        <w:t>operational</w:t>
      </w:r>
      <w:r w:rsidRPr="00307753">
        <w:t xml:space="preserve"> document</w:t>
      </w:r>
      <w:r w:rsidR="00331E35" w:rsidRPr="00307753">
        <w:t>ation</w:t>
      </w:r>
    </w:p>
    <w:p w14:paraId="4D3E0461" w14:textId="1769E9AB" w:rsidR="004D69DC" w:rsidRPr="00307753" w:rsidRDefault="004D69DC" w:rsidP="004D69DC">
      <w:r w:rsidRPr="00307753">
        <w:t xml:space="preserve">Oct 2019, v2, Catherine Manthorpe, comments, corrections, </w:t>
      </w:r>
      <w:r w:rsidR="0024275E" w:rsidRPr="00307753">
        <w:t>restructured</w:t>
      </w:r>
    </w:p>
    <w:p w14:paraId="57778CD3" w14:textId="77777777" w:rsidR="00AE45A7" w:rsidRDefault="004D69DC">
      <w:r w:rsidRPr="00307753">
        <w:t xml:space="preserve">Feb 2021, v3, </w:t>
      </w:r>
      <w:r w:rsidR="00487E46" w:rsidRPr="00307753">
        <w:t>Bill Worthington</w:t>
      </w:r>
      <w:r w:rsidR="00487E46">
        <w:t xml:space="preserve">, </w:t>
      </w:r>
      <w:r w:rsidR="0024275E" w:rsidRPr="00307753">
        <w:t xml:space="preserve">restructured, </w:t>
      </w:r>
      <w:r w:rsidR="00C570CB">
        <w:t>additional</w:t>
      </w:r>
      <w:r w:rsidR="00E15CEA" w:rsidRPr="00307753">
        <w:t xml:space="preserve"> appendices</w:t>
      </w:r>
      <w:r w:rsidRPr="00307753">
        <w:t xml:space="preserve">, </w:t>
      </w:r>
      <w:r w:rsidR="00331E35" w:rsidRPr="00307753">
        <w:t xml:space="preserve">links to </w:t>
      </w:r>
      <w:r w:rsidR="005E077F" w:rsidRPr="00307753">
        <w:t>online</w:t>
      </w:r>
      <w:r w:rsidR="00331E35" w:rsidRPr="00307753">
        <w:t xml:space="preserve"> resources</w:t>
      </w:r>
    </w:p>
    <w:p w14:paraId="206251DF" w14:textId="38017030" w:rsidR="00AE45A7" w:rsidRDefault="00FC1908" w:rsidP="00AE45A7">
      <w:r>
        <w:t>Mar</w:t>
      </w:r>
      <w:r w:rsidR="00AE45A7" w:rsidRPr="00307753">
        <w:t xml:space="preserve"> 2021, v</w:t>
      </w:r>
      <w:r w:rsidR="00AE45A7">
        <w:t>4</w:t>
      </w:r>
      <w:r w:rsidR="00AE45A7" w:rsidRPr="00307753">
        <w:t>, Bill Worthington</w:t>
      </w:r>
      <w:r w:rsidR="00AE45A7">
        <w:t xml:space="preserve">, </w:t>
      </w:r>
      <w:r w:rsidR="005416BE">
        <w:t xml:space="preserve">updated Appendix C </w:t>
      </w:r>
      <w:r>
        <w:t>Workflow</w:t>
      </w:r>
      <w:r w:rsidR="005416BE">
        <w:t xml:space="preserve"> </w:t>
      </w:r>
      <w:r>
        <w:t>Notes</w:t>
      </w:r>
      <w:r w:rsidR="00AE45A7" w:rsidRPr="00307753">
        <w:t xml:space="preserve"> </w:t>
      </w:r>
    </w:p>
    <w:p w14:paraId="704B9A0A" w14:textId="1C3C7C41" w:rsidR="00C71238" w:rsidRDefault="004D69DC">
      <w:r w:rsidRPr="00307753">
        <w:t xml:space="preserve"> </w:t>
      </w:r>
    </w:p>
    <w:p w14:paraId="76F76051" w14:textId="77777777" w:rsidR="00C71238" w:rsidRDefault="00C71238"/>
    <w:p w14:paraId="228AED8E" w14:textId="77777777" w:rsidR="00C71238" w:rsidRPr="00307753" w:rsidRDefault="004D69DC">
      <w:r w:rsidRPr="00307753">
        <w:br w:type="page"/>
      </w:r>
    </w:p>
    <w:sdt>
      <w:sdtPr>
        <w:rPr>
          <w:rFonts w:asciiTheme="minorHAnsi" w:eastAsiaTheme="minorHAnsi" w:hAnsiTheme="minorHAnsi" w:cstheme="minorBidi"/>
          <w:b w:val="0"/>
          <w:bCs w:val="0"/>
          <w:color w:val="auto"/>
          <w:sz w:val="22"/>
          <w:szCs w:val="22"/>
        </w:rPr>
        <w:id w:val="1598449805"/>
        <w:docPartObj>
          <w:docPartGallery w:val="Table of Contents"/>
          <w:docPartUnique/>
        </w:docPartObj>
      </w:sdtPr>
      <w:sdtEndPr>
        <w:rPr>
          <w:noProof/>
        </w:rPr>
      </w:sdtEndPr>
      <w:sdtContent>
        <w:p w14:paraId="52B1DB2B" w14:textId="0D69D1D6" w:rsidR="007917C6" w:rsidRDefault="007917C6">
          <w:pPr>
            <w:pStyle w:val="TOCHeading"/>
          </w:pPr>
          <w:r>
            <w:t>Table of Contents</w:t>
          </w:r>
        </w:p>
        <w:p w14:paraId="56AFB8A6" w14:textId="561188BF" w:rsidR="00FA7347" w:rsidRDefault="00B75190">
          <w:pPr>
            <w:pStyle w:val="TOC1"/>
            <w:tabs>
              <w:tab w:val="left" w:pos="440"/>
              <w:tab w:val="right" w:pos="9350"/>
            </w:tabs>
            <w:rPr>
              <w:rFonts w:eastAsiaTheme="minorEastAsia"/>
              <w:b w:val="0"/>
              <w:bCs w:val="0"/>
              <w:noProof/>
              <w:sz w:val="24"/>
              <w:szCs w:val="24"/>
              <w:lang w:val="en-GB" w:eastAsia="en-GB"/>
            </w:rPr>
          </w:pPr>
          <w:r>
            <w:rPr>
              <w:rFonts w:asciiTheme="majorHAnsi" w:hAnsiTheme="majorHAnsi" w:cstheme="majorHAnsi"/>
              <w:caps/>
              <w:sz w:val="24"/>
              <w:szCs w:val="24"/>
            </w:rPr>
            <w:fldChar w:fldCharType="begin"/>
          </w:r>
          <w:r>
            <w:rPr>
              <w:rFonts w:asciiTheme="majorHAnsi" w:hAnsiTheme="majorHAnsi" w:cstheme="majorHAnsi"/>
              <w:caps/>
              <w:sz w:val="24"/>
              <w:szCs w:val="24"/>
            </w:rPr>
            <w:instrText xml:space="preserve"> TOC \o "1-2" \h \z \u </w:instrText>
          </w:r>
          <w:r>
            <w:rPr>
              <w:rFonts w:asciiTheme="majorHAnsi" w:hAnsiTheme="majorHAnsi" w:cstheme="majorHAnsi"/>
              <w:caps/>
              <w:sz w:val="24"/>
              <w:szCs w:val="24"/>
            </w:rPr>
            <w:fldChar w:fldCharType="separate"/>
          </w:r>
          <w:hyperlink w:anchor="_Toc65071782" w:history="1">
            <w:r w:rsidR="00FA7347" w:rsidRPr="004F3F74">
              <w:rPr>
                <w:rStyle w:val="Hyperlink"/>
                <w:noProof/>
              </w:rPr>
              <w:t>1</w:t>
            </w:r>
            <w:r w:rsidR="00FA7347">
              <w:rPr>
                <w:rFonts w:eastAsiaTheme="minorEastAsia"/>
                <w:b w:val="0"/>
                <w:bCs w:val="0"/>
                <w:noProof/>
                <w:sz w:val="24"/>
                <w:szCs w:val="24"/>
                <w:lang w:val="en-GB" w:eastAsia="en-GB"/>
              </w:rPr>
              <w:tab/>
            </w:r>
            <w:r w:rsidR="00FA7347" w:rsidRPr="004F3F74">
              <w:rPr>
                <w:rStyle w:val="Hyperlink"/>
                <w:noProof/>
              </w:rPr>
              <w:t>Open Access Policy</w:t>
            </w:r>
            <w:r w:rsidR="00FA7347">
              <w:rPr>
                <w:noProof/>
                <w:webHidden/>
              </w:rPr>
              <w:tab/>
            </w:r>
            <w:r w:rsidR="00FA7347">
              <w:rPr>
                <w:noProof/>
                <w:webHidden/>
              </w:rPr>
              <w:fldChar w:fldCharType="begin"/>
            </w:r>
            <w:r w:rsidR="00FA7347">
              <w:rPr>
                <w:noProof/>
                <w:webHidden/>
              </w:rPr>
              <w:instrText xml:space="preserve"> PAGEREF _Toc65071782 \h </w:instrText>
            </w:r>
            <w:r w:rsidR="00FA7347">
              <w:rPr>
                <w:noProof/>
                <w:webHidden/>
              </w:rPr>
            </w:r>
            <w:r w:rsidR="00FA7347">
              <w:rPr>
                <w:noProof/>
                <w:webHidden/>
              </w:rPr>
              <w:fldChar w:fldCharType="separate"/>
            </w:r>
            <w:r w:rsidR="002B3F45">
              <w:rPr>
                <w:noProof/>
                <w:webHidden/>
              </w:rPr>
              <w:t>1</w:t>
            </w:r>
            <w:r w:rsidR="00FA7347">
              <w:rPr>
                <w:noProof/>
                <w:webHidden/>
              </w:rPr>
              <w:fldChar w:fldCharType="end"/>
            </w:r>
          </w:hyperlink>
        </w:p>
        <w:p w14:paraId="2E4BAA32" w14:textId="171BD285" w:rsidR="00FA7347" w:rsidRDefault="0006699F">
          <w:pPr>
            <w:pStyle w:val="TOC1"/>
            <w:tabs>
              <w:tab w:val="left" w:pos="440"/>
              <w:tab w:val="right" w:pos="9350"/>
            </w:tabs>
            <w:rPr>
              <w:rFonts w:eastAsiaTheme="minorEastAsia"/>
              <w:b w:val="0"/>
              <w:bCs w:val="0"/>
              <w:noProof/>
              <w:sz w:val="24"/>
              <w:szCs w:val="24"/>
              <w:lang w:val="en-GB" w:eastAsia="en-GB"/>
            </w:rPr>
          </w:pPr>
          <w:hyperlink w:anchor="_Toc65071783" w:history="1">
            <w:r w:rsidR="00FA7347" w:rsidRPr="004F3F74">
              <w:rPr>
                <w:rStyle w:val="Hyperlink"/>
                <w:noProof/>
              </w:rPr>
              <w:t>2</w:t>
            </w:r>
            <w:r w:rsidR="00FA7347">
              <w:rPr>
                <w:rFonts w:eastAsiaTheme="minorEastAsia"/>
                <w:b w:val="0"/>
                <w:bCs w:val="0"/>
                <w:noProof/>
                <w:sz w:val="24"/>
                <w:szCs w:val="24"/>
                <w:lang w:val="en-GB" w:eastAsia="en-GB"/>
              </w:rPr>
              <w:tab/>
            </w:r>
            <w:r w:rsidR="00FA7347" w:rsidRPr="004F3F74">
              <w:rPr>
                <w:rStyle w:val="Hyperlink"/>
                <w:noProof/>
              </w:rPr>
              <w:t>OA Support</w:t>
            </w:r>
            <w:r w:rsidR="00FA7347">
              <w:rPr>
                <w:noProof/>
                <w:webHidden/>
              </w:rPr>
              <w:tab/>
            </w:r>
            <w:r w:rsidR="00FA7347">
              <w:rPr>
                <w:noProof/>
                <w:webHidden/>
              </w:rPr>
              <w:fldChar w:fldCharType="begin"/>
            </w:r>
            <w:r w:rsidR="00FA7347">
              <w:rPr>
                <w:noProof/>
                <w:webHidden/>
              </w:rPr>
              <w:instrText xml:space="preserve"> PAGEREF _Toc65071783 \h </w:instrText>
            </w:r>
            <w:r w:rsidR="00FA7347">
              <w:rPr>
                <w:noProof/>
                <w:webHidden/>
              </w:rPr>
            </w:r>
            <w:r w:rsidR="00FA7347">
              <w:rPr>
                <w:noProof/>
                <w:webHidden/>
              </w:rPr>
              <w:fldChar w:fldCharType="separate"/>
            </w:r>
            <w:r w:rsidR="002B3F45">
              <w:rPr>
                <w:noProof/>
                <w:webHidden/>
              </w:rPr>
              <w:t>1</w:t>
            </w:r>
            <w:r w:rsidR="00FA7347">
              <w:rPr>
                <w:noProof/>
                <w:webHidden/>
              </w:rPr>
              <w:fldChar w:fldCharType="end"/>
            </w:r>
          </w:hyperlink>
        </w:p>
        <w:p w14:paraId="27CD1D9A" w14:textId="2BD61086" w:rsidR="00FA7347" w:rsidRDefault="0006699F">
          <w:pPr>
            <w:pStyle w:val="TOC2"/>
            <w:tabs>
              <w:tab w:val="right" w:pos="9350"/>
            </w:tabs>
            <w:rPr>
              <w:rFonts w:eastAsiaTheme="minorEastAsia"/>
              <w:i w:val="0"/>
              <w:iCs w:val="0"/>
              <w:noProof/>
              <w:sz w:val="24"/>
              <w:szCs w:val="24"/>
              <w:lang w:val="en-GB" w:eastAsia="en-GB"/>
            </w:rPr>
          </w:pPr>
          <w:hyperlink w:anchor="_Toc65071784" w:history="1">
            <w:r w:rsidR="00FA7347" w:rsidRPr="004F3F74">
              <w:rPr>
                <w:rStyle w:val="Hyperlink"/>
                <w:rFonts w:eastAsia="Calibri"/>
                <w:noProof/>
              </w:rPr>
              <w:t>2.1 Research &amp; Scholarly Communications Team (RSC)</w:t>
            </w:r>
            <w:r w:rsidR="00FA7347">
              <w:rPr>
                <w:noProof/>
                <w:webHidden/>
              </w:rPr>
              <w:tab/>
            </w:r>
            <w:r w:rsidR="00FA7347">
              <w:rPr>
                <w:noProof/>
                <w:webHidden/>
              </w:rPr>
              <w:fldChar w:fldCharType="begin"/>
            </w:r>
            <w:r w:rsidR="00FA7347">
              <w:rPr>
                <w:noProof/>
                <w:webHidden/>
              </w:rPr>
              <w:instrText xml:space="preserve"> PAGEREF _Toc65071784 \h </w:instrText>
            </w:r>
            <w:r w:rsidR="00FA7347">
              <w:rPr>
                <w:noProof/>
                <w:webHidden/>
              </w:rPr>
            </w:r>
            <w:r w:rsidR="00FA7347">
              <w:rPr>
                <w:noProof/>
                <w:webHidden/>
              </w:rPr>
              <w:fldChar w:fldCharType="separate"/>
            </w:r>
            <w:r w:rsidR="002B3F45">
              <w:rPr>
                <w:noProof/>
                <w:webHidden/>
              </w:rPr>
              <w:t>1</w:t>
            </w:r>
            <w:r w:rsidR="00FA7347">
              <w:rPr>
                <w:noProof/>
                <w:webHidden/>
              </w:rPr>
              <w:fldChar w:fldCharType="end"/>
            </w:r>
          </w:hyperlink>
        </w:p>
        <w:p w14:paraId="02F563D5" w14:textId="39294138" w:rsidR="00FA7347" w:rsidRDefault="0006699F">
          <w:pPr>
            <w:pStyle w:val="TOC2"/>
            <w:tabs>
              <w:tab w:val="right" w:pos="9350"/>
            </w:tabs>
            <w:rPr>
              <w:rFonts w:eastAsiaTheme="minorEastAsia"/>
              <w:i w:val="0"/>
              <w:iCs w:val="0"/>
              <w:noProof/>
              <w:sz w:val="24"/>
              <w:szCs w:val="24"/>
              <w:lang w:val="en-GB" w:eastAsia="en-GB"/>
            </w:rPr>
          </w:pPr>
          <w:hyperlink w:anchor="_Toc65071785" w:history="1">
            <w:r w:rsidR="00FA7347" w:rsidRPr="004F3F74">
              <w:rPr>
                <w:rStyle w:val="Hyperlink"/>
                <w:rFonts w:eastAsia="Calibri"/>
                <w:noProof/>
              </w:rPr>
              <w:t>2.2 Office of Vice-Chancellor Research Office (RO)</w:t>
            </w:r>
            <w:r w:rsidR="00FA7347">
              <w:rPr>
                <w:noProof/>
                <w:webHidden/>
              </w:rPr>
              <w:tab/>
            </w:r>
            <w:r w:rsidR="00FA7347">
              <w:rPr>
                <w:noProof/>
                <w:webHidden/>
              </w:rPr>
              <w:fldChar w:fldCharType="begin"/>
            </w:r>
            <w:r w:rsidR="00FA7347">
              <w:rPr>
                <w:noProof/>
                <w:webHidden/>
              </w:rPr>
              <w:instrText xml:space="preserve"> PAGEREF _Toc65071785 \h </w:instrText>
            </w:r>
            <w:r w:rsidR="00FA7347">
              <w:rPr>
                <w:noProof/>
                <w:webHidden/>
              </w:rPr>
            </w:r>
            <w:r w:rsidR="00FA7347">
              <w:rPr>
                <w:noProof/>
                <w:webHidden/>
              </w:rPr>
              <w:fldChar w:fldCharType="separate"/>
            </w:r>
            <w:r w:rsidR="002B3F45">
              <w:rPr>
                <w:noProof/>
                <w:webHidden/>
              </w:rPr>
              <w:t>1</w:t>
            </w:r>
            <w:r w:rsidR="00FA7347">
              <w:rPr>
                <w:noProof/>
                <w:webHidden/>
              </w:rPr>
              <w:fldChar w:fldCharType="end"/>
            </w:r>
          </w:hyperlink>
        </w:p>
        <w:p w14:paraId="1B038F6A" w14:textId="6F745F54" w:rsidR="00FA7347" w:rsidRDefault="0006699F">
          <w:pPr>
            <w:pStyle w:val="TOC2"/>
            <w:tabs>
              <w:tab w:val="right" w:pos="9350"/>
            </w:tabs>
            <w:rPr>
              <w:rFonts w:eastAsiaTheme="minorEastAsia"/>
              <w:i w:val="0"/>
              <w:iCs w:val="0"/>
              <w:noProof/>
              <w:sz w:val="24"/>
              <w:szCs w:val="24"/>
              <w:lang w:val="en-GB" w:eastAsia="en-GB"/>
            </w:rPr>
          </w:pPr>
          <w:hyperlink w:anchor="_Toc65071786" w:history="1">
            <w:r w:rsidR="00FA7347" w:rsidRPr="004F3F74">
              <w:rPr>
                <w:rStyle w:val="Hyperlink"/>
                <w:noProof/>
              </w:rPr>
              <w:t>2.3 Research Systems</w:t>
            </w:r>
            <w:r w:rsidR="00FA7347">
              <w:rPr>
                <w:noProof/>
                <w:webHidden/>
              </w:rPr>
              <w:tab/>
            </w:r>
            <w:r w:rsidR="00FA7347">
              <w:rPr>
                <w:noProof/>
                <w:webHidden/>
              </w:rPr>
              <w:fldChar w:fldCharType="begin"/>
            </w:r>
            <w:r w:rsidR="00FA7347">
              <w:rPr>
                <w:noProof/>
                <w:webHidden/>
              </w:rPr>
              <w:instrText xml:space="preserve"> PAGEREF _Toc65071786 \h </w:instrText>
            </w:r>
            <w:r w:rsidR="00FA7347">
              <w:rPr>
                <w:noProof/>
                <w:webHidden/>
              </w:rPr>
            </w:r>
            <w:r w:rsidR="00FA7347">
              <w:rPr>
                <w:noProof/>
                <w:webHidden/>
              </w:rPr>
              <w:fldChar w:fldCharType="separate"/>
            </w:r>
            <w:r w:rsidR="002B3F45">
              <w:rPr>
                <w:noProof/>
                <w:webHidden/>
              </w:rPr>
              <w:t>1</w:t>
            </w:r>
            <w:r w:rsidR="00FA7347">
              <w:rPr>
                <w:noProof/>
                <w:webHidden/>
              </w:rPr>
              <w:fldChar w:fldCharType="end"/>
            </w:r>
          </w:hyperlink>
        </w:p>
        <w:p w14:paraId="72A18F5A" w14:textId="0B620ECE" w:rsidR="00FA7347" w:rsidRDefault="0006699F">
          <w:pPr>
            <w:pStyle w:val="TOC2"/>
            <w:tabs>
              <w:tab w:val="right" w:pos="9350"/>
            </w:tabs>
            <w:rPr>
              <w:rFonts w:eastAsiaTheme="minorEastAsia"/>
              <w:i w:val="0"/>
              <w:iCs w:val="0"/>
              <w:noProof/>
              <w:sz w:val="24"/>
              <w:szCs w:val="24"/>
              <w:lang w:val="en-GB" w:eastAsia="en-GB"/>
            </w:rPr>
          </w:pPr>
          <w:hyperlink w:anchor="_Toc65071787" w:history="1">
            <w:r w:rsidR="00FA7347" w:rsidRPr="004F3F74">
              <w:rPr>
                <w:rStyle w:val="Hyperlink"/>
                <w:noProof/>
              </w:rPr>
              <w:t>2.4 Gold OA funding</w:t>
            </w:r>
            <w:r w:rsidR="00FA7347">
              <w:rPr>
                <w:noProof/>
                <w:webHidden/>
              </w:rPr>
              <w:tab/>
            </w:r>
            <w:r w:rsidR="00FA7347">
              <w:rPr>
                <w:noProof/>
                <w:webHidden/>
              </w:rPr>
              <w:fldChar w:fldCharType="begin"/>
            </w:r>
            <w:r w:rsidR="00FA7347">
              <w:rPr>
                <w:noProof/>
                <w:webHidden/>
              </w:rPr>
              <w:instrText xml:space="preserve"> PAGEREF _Toc65071787 \h </w:instrText>
            </w:r>
            <w:r w:rsidR="00FA7347">
              <w:rPr>
                <w:noProof/>
                <w:webHidden/>
              </w:rPr>
            </w:r>
            <w:r w:rsidR="00FA7347">
              <w:rPr>
                <w:noProof/>
                <w:webHidden/>
              </w:rPr>
              <w:fldChar w:fldCharType="separate"/>
            </w:r>
            <w:r w:rsidR="002B3F45">
              <w:rPr>
                <w:noProof/>
                <w:webHidden/>
              </w:rPr>
              <w:t>1</w:t>
            </w:r>
            <w:r w:rsidR="00FA7347">
              <w:rPr>
                <w:noProof/>
                <w:webHidden/>
              </w:rPr>
              <w:fldChar w:fldCharType="end"/>
            </w:r>
          </w:hyperlink>
        </w:p>
        <w:p w14:paraId="3B05693B" w14:textId="36B284D5" w:rsidR="00FA7347" w:rsidRDefault="0006699F">
          <w:pPr>
            <w:pStyle w:val="TOC1"/>
            <w:tabs>
              <w:tab w:val="left" w:pos="440"/>
              <w:tab w:val="right" w:pos="9350"/>
            </w:tabs>
            <w:rPr>
              <w:rFonts w:eastAsiaTheme="minorEastAsia"/>
              <w:b w:val="0"/>
              <w:bCs w:val="0"/>
              <w:noProof/>
              <w:sz w:val="24"/>
              <w:szCs w:val="24"/>
              <w:lang w:val="en-GB" w:eastAsia="en-GB"/>
            </w:rPr>
          </w:pPr>
          <w:hyperlink w:anchor="_Toc65071788" w:history="1">
            <w:r w:rsidR="00FA7347" w:rsidRPr="004F3F74">
              <w:rPr>
                <w:rStyle w:val="Hyperlink"/>
                <w:noProof/>
              </w:rPr>
              <w:t>3</w:t>
            </w:r>
            <w:r w:rsidR="00FA7347">
              <w:rPr>
                <w:rFonts w:eastAsiaTheme="minorEastAsia"/>
                <w:b w:val="0"/>
                <w:bCs w:val="0"/>
                <w:noProof/>
                <w:sz w:val="24"/>
                <w:szCs w:val="24"/>
                <w:lang w:val="en-GB" w:eastAsia="en-GB"/>
              </w:rPr>
              <w:tab/>
            </w:r>
            <w:r w:rsidR="00FA7347" w:rsidRPr="004F3F74">
              <w:rPr>
                <w:rStyle w:val="Hyperlink"/>
                <w:noProof/>
              </w:rPr>
              <w:t>Curation Process</w:t>
            </w:r>
            <w:r w:rsidR="00FA7347">
              <w:rPr>
                <w:noProof/>
                <w:webHidden/>
              </w:rPr>
              <w:tab/>
            </w:r>
            <w:r w:rsidR="00FA7347">
              <w:rPr>
                <w:noProof/>
                <w:webHidden/>
              </w:rPr>
              <w:fldChar w:fldCharType="begin"/>
            </w:r>
            <w:r w:rsidR="00FA7347">
              <w:rPr>
                <w:noProof/>
                <w:webHidden/>
              </w:rPr>
              <w:instrText xml:space="preserve"> PAGEREF _Toc65071788 \h </w:instrText>
            </w:r>
            <w:r w:rsidR="00FA7347">
              <w:rPr>
                <w:noProof/>
                <w:webHidden/>
              </w:rPr>
            </w:r>
            <w:r w:rsidR="00FA7347">
              <w:rPr>
                <w:noProof/>
                <w:webHidden/>
              </w:rPr>
              <w:fldChar w:fldCharType="separate"/>
            </w:r>
            <w:r w:rsidR="002B3F45">
              <w:rPr>
                <w:noProof/>
                <w:webHidden/>
              </w:rPr>
              <w:t>2</w:t>
            </w:r>
            <w:r w:rsidR="00FA7347">
              <w:rPr>
                <w:noProof/>
                <w:webHidden/>
              </w:rPr>
              <w:fldChar w:fldCharType="end"/>
            </w:r>
          </w:hyperlink>
        </w:p>
        <w:p w14:paraId="59A2C7E3" w14:textId="5776DF0F" w:rsidR="00FA7347" w:rsidRDefault="0006699F">
          <w:pPr>
            <w:pStyle w:val="TOC2"/>
            <w:tabs>
              <w:tab w:val="right" w:pos="9350"/>
            </w:tabs>
            <w:rPr>
              <w:rFonts w:eastAsiaTheme="minorEastAsia"/>
              <w:i w:val="0"/>
              <w:iCs w:val="0"/>
              <w:noProof/>
              <w:sz w:val="24"/>
              <w:szCs w:val="24"/>
              <w:lang w:val="en-GB" w:eastAsia="en-GB"/>
            </w:rPr>
          </w:pPr>
          <w:hyperlink w:anchor="_Toc65071789" w:history="1">
            <w:r w:rsidR="00FA7347" w:rsidRPr="004F3F74">
              <w:rPr>
                <w:rStyle w:val="Hyperlink"/>
                <w:rFonts w:eastAsia="Calibri"/>
                <w:noProof/>
              </w:rPr>
              <w:t>3.1  Aims and objectives</w:t>
            </w:r>
            <w:r w:rsidR="00FA7347">
              <w:rPr>
                <w:noProof/>
                <w:webHidden/>
              </w:rPr>
              <w:tab/>
            </w:r>
            <w:r w:rsidR="00FA7347">
              <w:rPr>
                <w:noProof/>
                <w:webHidden/>
              </w:rPr>
              <w:fldChar w:fldCharType="begin"/>
            </w:r>
            <w:r w:rsidR="00FA7347">
              <w:rPr>
                <w:noProof/>
                <w:webHidden/>
              </w:rPr>
              <w:instrText xml:space="preserve"> PAGEREF _Toc65071789 \h </w:instrText>
            </w:r>
            <w:r w:rsidR="00FA7347">
              <w:rPr>
                <w:noProof/>
                <w:webHidden/>
              </w:rPr>
            </w:r>
            <w:r w:rsidR="00FA7347">
              <w:rPr>
                <w:noProof/>
                <w:webHidden/>
              </w:rPr>
              <w:fldChar w:fldCharType="separate"/>
            </w:r>
            <w:r w:rsidR="002B3F45">
              <w:rPr>
                <w:noProof/>
                <w:webHidden/>
              </w:rPr>
              <w:t>2</w:t>
            </w:r>
            <w:r w:rsidR="00FA7347">
              <w:rPr>
                <w:noProof/>
                <w:webHidden/>
              </w:rPr>
              <w:fldChar w:fldCharType="end"/>
            </w:r>
          </w:hyperlink>
        </w:p>
        <w:p w14:paraId="54DB25EE" w14:textId="00F0EA24" w:rsidR="00FA7347" w:rsidRDefault="0006699F">
          <w:pPr>
            <w:pStyle w:val="TOC2"/>
            <w:tabs>
              <w:tab w:val="right" w:pos="9350"/>
            </w:tabs>
            <w:rPr>
              <w:rFonts w:eastAsiaTheme="minorEastAsia"/>
              <w:i w:val="0"/>
              <w:iCs w:val="0"/>
              <w:noProof/>
              <w:sz w:val="24"/>
              <w:szCs w:val="24"/>
              <w:lang w:val="en-GB" w:eastAsia="en-GB"/>
            </w:rPr>
          </w:pPr>
          <w:hyperlink w:anchor="_Toc65071790" w:history="1">
            <w:r w:rsidR="00FA7347" w:rsidRPr="004F3F74">
              <w:rPr>
                <w:rStyle w:val="Hyperlink"/>
                <w:rFonts w:eastAsia="Calibri"/>
                <w:noProof/>
              </w:rPr>
              <w:t>3.2  Curation Overview</w:t>
            </w:r>
            <w:r w:rsidR="00FA7347">
              <w:rPr>
                <w:noProof/>
                <w:webHidden/>
              </w:rPr>
              <w:tab/>
            </w:r>
            <w:r w:rsidR="00FA7347">
              <w:rPr>
                <w:noProof/>
                <w:webHidden/>
              </w:rPr>
              <w:fldChar w:fldCharType="begin"/>
            </w:r>
            <w:r w:rsidR="00FA7347">
              <w:rPr>
                <w:noProof/>
                <w:webHidden/>
              </w:rPr>
              <w:instrText xml:space="preserve"> PAGEREF _Toc65071790 \h </w:instrText>
            </w:r>
            <w:r w:rsidR="00FA7347">
              <w:rPr>
                <w:noProof/>
                <w:webHidden/>
              </w:rPr>
            </w:r>
            <w:r w:rsidR="00FA7347">
              <w:rPr>
                <w:noProof/>
                <w:webHidden/>
              </w:rPr>
              <w:fldChar w:fldCharType="separate"/>
            </w:r>
            <w:r w:rsidR="002B3F45">
              <w:rPr>
                <w:noProof/>
                <w:webHidden/>
              </w:rPr>
              <w:t>2</w:t>
            </w:r>
            <w:r w:rsidR="00FA7347">
              <w:rPr>
                <w:noProof/>
                <w:webHidden/>
              </w:rPr>
              <w:fldChar w:fldCharType="end"/>
            </w:r>
          </w:hyperlink>
        </w:p>
        <w:p w14:paraId="764B0CD3" w14:textId="4EC45B8E" w:rsidR="00FA7347" w:rsidRDefault="0006699F">
          <w:pPr>
            <w:pStyle w:val="TOC2"/>
            <w:tabs>
              <w:tab w:val="right" w:pos="9350"/>
            </w:tabs>
            <w:rPr>
              <w:rFonts w:eastAsiaTheme="minorEastAsia"/>
              <w:i w:val="0"/>
              <w:iCs w:val="0"/>
              <w:noProof/>
              <w:sz w:val="24"/>
              <w:szCs w:val="24"/>
              <w:lang w:val="en-GB" w:eastAsia="en-GB"/>
            </w:rPr>
          </w:pPr>
          <w:hyperlink w:anchor="_Toc65071791" w:history="1">
            <w:r w:rsidR="00FA7347" w:rsidRPr="004F3F74">
              <w:rPr>
                <w:rStyle w:val="Hyperlink"/>
                <w:rFonts w:eastAsia="Calibri"/>
                <w:noProof/>
              </w:rPr>
              <w:t>3.3 Process Challenges</w:t>
            </w:r>
            <w:r w:rsidR="00FA7347">
              <w:rPr>
                <w:noProof/>
                <w:webHidden/>
              </w:rPr>
              <w:tab/>
            </w:r>
            <w:r w:rsidR="00FA7347">
              <w:rPr>
                <w:noProof/>
                <w:webHidden/>
              </w:rPr>
              <w:fldChar w:fldCharType="begin"/>
            </w:r>
            <w:r w:rsidR="00FA7347">
              <w:rPr>
                <w:noProof/>
                <w:webHidden/>
              </w:rPr>
              <w:instrText xml:space="preserve"> PAGEREF _Toc65071791 \h </w:instrText>
            </w:r>
            <w:r w:rsidR="00FA7347">
              <w:rPr>
                <w:noProof/>
                <w:webHidden/>
              </w:rPr>
            </w:r>
            <w:r w:rsidR="00FA7347">
              <w:rPr>
                <w:noProof/>
                <w:webHidden/>
              </w:rPr>
              <w:fldChar w:fldCharType="separate"/>
            </w:r>
            <w:r w:rsidR="002B3F45">
              <w:rPr>
                <w:noProof/>
                <w:webHidden/>
              </w:rPr>
              <w:t>4</w:t>
            </w:r>
            <w:r w:rsidR="00FA7347">
              <w:rPr>
                <w:noProof/>
                <w:webHidden/>
              </w:rPr>
              <w:fldChar w:fldCharType="end"/>
            </w:r>
          </w:hyperlink>
        </w:p>
        <w:p w14:paraId="3837F409" w14:textId="3ABF7303" w:rsidR="00FA7347" w:rsidRDefault="0006699F">
          <w:pPr>
            <w:pStyle w:val="TOC1"/>
            <w:tabs>
              <w:tab w:val="left" w:pos="440"/>
              <w:tab w:val="right" w:pos="9350"/>
            </w:tabs>
            <w:rPr>
              <w:rFonts w:eastAsiaTheme="minorEastAsia"/>
              <w:b w:val="0"/>
              <w:bCs w:val="0"/>
              <w:noProof/>
              <w:sz w:val="24"/>
              <w:szCs w:val="24"/>
              <w:lang w:val="en-GB" w:eastAsia="en-GB"/>
            </w:rPr>
          </w:pPr>
          <w:hyperlink w:anchor="_Toc65071792" w:history="1">
            <w:r w:rsidR="00FA7347" w:rsidRPr="004F3F74">
              <w:rPr>
                <w:rStyle w:val="Hyperlink"/>
                <w:noProof/>
              </w:rPr>
              <w:t>4</w:t>
            </w:r>
            <w:r w:rsidR="00FA7347">
              <w:rPr>
                <w:rFonts w:eastAsiaTheme="minorEastAsia"/>
                <w:b w:val="0"/>
                <w:bCs w:val="0"/>
                <w:noProof/>
                <w:sz w:val="24"/>
                <w:szCs w:val="24"/>
                <w:lang w:val="en-GB" w:eastAsia="en-GB"/>
              </w:rPr>
              <w:tab/>
            </w:r>
            <w:r w:rsidR="00FA7347" w:rsidRPr="004F3F74">
              <w:rPr>
                <w:rStyle w:val="Hyperlink"/>
                <w:noProof/>
              </w:rPr>
              <w:t>Advocacy and Training</w:t>
            </w:r>
            <w:r w:rsidR="00FA7347">
              <w:rPr>
                <w:noProof/>
                <w:webHidden/>
              </w:rPr>
              <w:tab/>
            </w:r>
            <w:r w:rsidR="00FA7347">
              <w:rPr>
                <w:noProof/>
                <w:webHidden/>
              </w:rPr>
              <w:fldChar w:fldCharType="begin"/>
            </w:r>
            <w:r w:rsidR="00FA7347">
              <w:rPr>
                <w:noProof/>
                <w:webHidden/>
              </w:rPr>
              <w:instrText xml:space="preserve"> PAGEREF _Toc65071792 \h </w:instrText>
            </w:r>
            <w:r w:rsidR="00FA7347">
              <w:rPr>
                <w:noProof/>
                <w:webHidden/>
              </w:rPr>
            </w:r>
            <w:r w:rsidR="00FA7347">
              <w:rPr>
                <w:noProof/>
                <w:webHidden/>
              </w:rPr>
              <w:fldChar w:fldCharType="separate"/>
            </w:r>
            <w:r w:rsidR="002B3F45">
              <w:rPr>
                <w:noProof/>
                <w:webHidden/>
              </w:rPr>
              <w:t>4</w:t>
            </w:r>
            <w:r w:rsidR="00FA7347">
              <w:rPr>
                <w:noProof/>
                <w:webHidden/>
              </w:rPr>
              <w:fldChar w:fldCharType="end"/>
            </w:r>
          </w:hyperlink>
        </w:p>
        <w:p w14:paraId="5599E100" w14:textId="2C603053" w:rsidR="00FA7347" w:rsidRDefault="0006699F">
          <w:pPr>
            <w:pStyle w:val="TOC2"/>
            <w:tabs>
              <w:tab w:val="right" w:pos="9350"/>
            </w:tabs>
            <w:rPr>
              <w:rFonts w:eastAsiaTheme="minorEastAsia"/>
              <w:i w:val="0"/>
              <w:iCs w:val="0"/>
              <w:noProof/>
              <w:sz w:val="24"/>
              <w:szCs w:val="24"/>
              <w:lang w:val="en-GB" w:eastAsia="en-GB"/>
            </w:rPr>
          </w:pPr>
          <w:hyperlink w:anchor="_Toc65071793" w:history="1">
            <w:r w:rsidR="00FA7347" w:rsidRPr="004F3F74">
              <w:rPr>
                <w:rStyle w:val="Hyperlink"/>
                <w:rFonts w:eastAsia="Calibri"/>
                <w:noProof/>
              </w:rPr>
              <w:t>4.1 for Authors</w:t>
            </w:r>
            <w:r w:rsidR="00FA7347">
              <w:rPr>
                <w:noProof/>
                <w:webHidden/>
              </w:rPr>
              <w:tab/>
            </w:r>
            <w:r w:rsidR="00FA7347">
              <w:rPr>
                <w:noProof/>
                <w:webHidden/>
              </w:rPr>
              <w:fldChar w:fldCharType="begin"/>
            </w:r>
            <w:r w:rsidR="00FA7347">
              <w:rPr>
                <w:noProof/>
                <w:webHidden/>
              </w:rPr>
              <w:instrText xml:space="preserve"> PAGEREF _Toc65071793 \h </w:instrText>
            </w:r>
            <w:r w:rsidR="00FA7347">
              <w:rPr>
                <w:noProof/>
                <w:webHidden/>
              </w:rPr>
            </w:r>
            <w:r w:rsidR="00FA7347">
              <w:rPr>
                <w:noProof/>
                <w:webHidden/>
              </w:rPr>
              <w:fldChar w:fldCharType="separate"/>
            </w:r>
            <w:r w:rsidR="002B3F45">
              <w:rPr>
                <w:noProof/>
                <w:webHidden/>
              </w:rPr>
              <w:t>4</w:t>
            </w:r>
            <w:r w:rsidR="00FA7347">
              <w:rPr>
                <w:noProof/>
                <w:webHidden/>
              </w:rPr>
              <w:fldChar w:fldCharType="end"/>
            </w:r>
          </w:hyperlink>
        </w:p>
        <w:p w14:paraId="0B598DC7" w14:textId="5EDD9A91" w:rsidR="00FA7347" w:rsidRDefault="0006699F">
          <w:pPr>
            <w:pStyle w:val="TOC2"/>
            <w:tabs>
              <w:tab w:val="right" w:pos="9350"/>
            </w:tabs>
            <w:rPr>
              <w:rFonts w:eastAsiaTheme="minorEastAsia"/>
              <w:i w:val="0"/>
              <w:iCs w:val="0"/>
              <w:noProof/>
              <w:sz w:val="24"/>
              <w:szCs w:val="24"/>
              <w:lang w:val="en-GB" w:eastAsia="en-GB"/>
            </w:rPr>
          </w:pPr>
          <w:hyperlink w:anchor="_Toc65071794" w:history="1">
            <w:r w:rsidR="00FA7347" w:rsidRPr="004F3F74">
              <w:rPr>
                <w:rStyle w:val="Hyperlink"/>
                <w:rFonts w:eastAsia="Calibri"/>
                <w:noProof/>
              </w:rPr>
              <w:t>4.2 for Research Management</w:t>
            </w:r>
            <w:r w:rsidR="00FA7347">
              <w:rPr>
                <w:noProof/>
                <w:webHidden/>
              </w:rPr>
              <w:tab/>
            </w:r>
            <w:r w:rsidR="00FA7347">
              <w:rPr>
                <w:noProof/>
                <w:webHidden/>
              </w:rPr>
              <w:fldChar w:fldCharType="begin"/>
            </w:r>
            <w:r w:rsidR="00FA7347">
              <w:rPr>
                <w:noProof/>
                <w:webHidden/>
              </w:rPr>
              <w:instrText xml:space="preserve"> PAGEREF _Toc65071794 \h </w:instrText>
            </w:r>
            <w:r w:rsidR="00FA7347">
              <w:rPr>
                <w:noProof/>
                <w:webHidden/>
              </w:rPr>
            </w:r>
            <w:r w:rsidR="00FA7347">
              <w:rPr>
                <w:noProof/>
                <w:webHidden/>
              </w:rPr>
              <w:fldChar w:fldCharType="separate"/>
            </w:r>
            <w:r w:rsidR="002B3F45">
              <w:rPr>
                <w:noProof/>
                <w:webHidden/>
              </w:rPr>
              <w:t>5</w:t>
            </w:r>
            <w:r w:rsidR="00FA7347">
              <w:rPr>
                <w:noProof/>
                <w:webHidden/>
              </w:rPr>
              <w:fldChar w:fldCharType="end"/>
            </w:r>
          </w:hyperlink>
        </w:p>
        <w:p w14:paraId="05A0B76E" w14:textId="1552935A" w:rsidR="00FA7347" w:rsidRDefault="0006699F">
          <w:pPr>
            <w:pStyle w:val="TOC2"/>
            <w:tabs>
              <w:tab w:val="right" w:pos="9350"/>
            </w:tabs>
            <w:rPr>
              <w:rFonts w:eastAsiaTheme="minorEastAsia"/>
              <w:i w:val="0"/>
              <w:iCs w:val="0"/>
              <w:noProof/>
              <w:sz w:val="24"/>
              <w:szCs w:val="24"/>
              <w:lang w:val="en-GB" w:eastAsia="en-GB"/>
            </w:rPr>
          </w:pPr>
          <w:hyperlink w:anchor="_Toc65071795" w:history="1">
            <w:r w:rsidR="00FA7347" w:rsidRPr="004F3F74">
              <w:rPr>
                <w:rStyle w:val="Hyperlink"/>
                <w:rFonts w:eastAsia="Calibri"/>
                <w:noProof/>
              </w:rPr>
              <w:t>4.3 for Administrators:</w:t>
            </w:r>
            <w:r w:rsidR="00FA7347">
              <w:rPr>
                <w:noProof/>
                <w:webHidden/>
              </w:rPr>
              <w:tab/>
            </w:r>
            <w:r w:rsidR="00FA7347">
              <w:rPr>
                <w:noProof/>
                <w:webHidden/>
              </w:rPr>
              <w:fldChar w:fldCharType="begin"/>
            </w:r>
            <w:r w:rsidR="00FA7347">
              <w:rPr>
                <w:noProof/>
                <w:webHidden/>
              </w:rPr>
              <w:instrText xml:space="preserve"> PAGEREF _Toc65071795 \h </w:instrText>
            </w:r>
            <w:r w:rsidR="00FA7347">
              <w:rPr>
                <w:noProof/>
                <w:webHidden/>
              </w:rPr>
            </w:r>
            <w:r w:rsidR="00FA7347">
              <w:rPr>
                <w:noProof/>
                <w:webHidden/>
              </w:rPr>
              <w:fldChar w:fldCharType="separate"/>
            </w:r>
            <w:r w:rsidR="002B3F45">
              <w:rPr>
                <w:noProof/>
                <w:webHidden/>
              </w:rPr>
              <w:t>5</w:t>
            </w:r>
            <w:r w:rsidR="00FA7347">
              <w:rPr>
                <w:noProof/>
                <w:webHidden/>
              </w:rPr>
              <w:fldChar w:fldCharType="end"/>
            </w:r>
          </w:hyperlink>
        </w:p>
        <w:p w14:paraId="01A9A9EB" w14:textId="380D84EA" w:rsidR="00FA7347" w:rsidRDefault="0006699F">
          <w:pPr>
            <w:pStyle w:val="TOC1"/>
            <w:tabs>
              <w:tab w:val="left" w:pos="440"/>
              <w:tab w:val="right" w:pos="9350"/>
            </w:tabs>
            <w:rPr>
              <w:rFonts w:eastAsiaTheme="minorEastAsia"/>
              <w:b w:val="0"/>
              <w:bCs w:val="0"/>
              <w:noProof/>
              <w:sz w:val="24"/>
              <w:szCs w:val="24"/>
              <w:lang w:val="en-GB" w:eastAsia="en-GB"/>
            </w:rPr>
          </w:pPr>
          <w:hyperlink w:anchor="_Toc65071796" w:history="1">
            <w:r w:rsidR="00FA7347" w:rsidRPr="004F3F74">
              <w:rPr>
                <w:rStyle w:val="Hyperlink"/>
                <w:noProof/>
              </w:rPr>
              <w:t>5</w:t>
            </w:r>
            <w:r w:rsidR="00FA7347">
              <w:rPr>
                <w:rFonts w:eastAsiaTheme="minorEastAsia"/>
                <w:b w:val="0"/>
                <w:bCs w:val="0"/>
                <w:noProof/>
                <w:sz w:val="24"/>
                <w:szCs w:val="24"/>
                <w:lang w:val="en-GB" w:eastAsia="en-GB"/>
              </w:rPr>
              <w:tab/>
            </w:r>
            <w:r w:rsidR="00FA7347" w:rsidRPr="004F3F74">
              <w:rPr>
                <w:rStyle w:val="Hyperlink"/>
                <w:noProof/>
              </w:rPr>
              <w:t>Monitoring and Reporting</w:t>
            </w:r>
            <w:r w:rsidR="00FA7347">
              <w:rPr>
                <w:noProof/>
                <w:webHidden/>
              </w:rPr>
              <w:tab/>
            </w:r>
            <w:r w:rsidR="00FA7347">
              <w:rPr>
                <w:noProof/>
                <w:webHidden/>
              </w:rPr>
              <w:fldChar w:fldCharType="begin"/>
            </w:r>
            <w:r w:rsidR="00FA7347">
              <w:rPr>
                <w:noProof/>
                <w:webHidden/>
              </w:rPr>
              <w:instrText xml:space="preserve"> PAGEREF _Toc65071796 \h </w:instrText>
            </w:r>
            <w:r w:rsidR="00FA7347">
              <w:rPr>
                <w:noProof/>
                <w:webHidden/>
              </w:rPr>
            </w:r>
            <w:r w:rsidR="00FA7347">
              <w:rPr>
                <w:noProof/>
                <w:webHidden/>
              </w:rPr>
              <w:fldChar w:fldCharType="separate"/>
            </w:r>
            <w:r w:rsidR="002B3F45">
              <w:rPr>
                <w:noProof/>
                <w:webHidden/>
              </w:rPr>
              <w:t>5</w:t>
            </w:r>
            <w:r w:rsidR="00FA7347">
              <w:rPr>
                <w:noProof/>
                <w:webHidden/>
              </w:rPr>
              <w:fldChar w:fldCharType="end"/>
            </w:r>
          </w:hyperlink>
        </w:p>
        <w:p w14:paraId="64E83D43" w14:textId="128CEF0F" w:rsidR="00FA7347" w:rsidRDefault="0006699F">
          <w:pPr>
            <w:pStyle w:val="TOC1"/>
            <w:tabs>
              <w:tab w:val="left" w:pos="1320"/>
              <w:tab w:val="right" w:pos="9350"/>
            </w:tabs>
            <w:rPr>
              <w:rFonts w:eastAsiaTheme="minorEastAsia"/>
              <w:b w:val="0"/>
              <w:bCs w:val="0"/>
              <w:noProof/>
              <w:sz w:val="24"/>
              <w:szCs w:val="24"/>
              <w:lang w:val="en-GB" w:eastAsia="en-GB"/>
            </w:rPr>
          </w:pPr>
          <w:hyperlink w:anchor="_Toc65071797" w:history="1">
            <w:r w:rsidR="00FA7347" w:rsidRPr="004F3F74">
              <w:rPr>
                <w:rStyle w:val="Hyperlink"/>
                <w:noProof/>
              </w:rPr>
              <w:t xml:space="preserve">Appendix A </w:t>
            </w:r>
            <w:r w:rsidR="00FA7347">
              <w:rPr>
                <w:rFonts w:eastAsiaTheme="minorEastAsia"/>
                <w:b w:val="0"/>
                <w:bCs w:val="0"/>
                <w:noProof/>
                <w:sz w:val="24"/>
                <w:szCs w:val="24"/>
                <w:lang w:val="en-GB" w:eastAsia="en-GB"/>
              </w:rPr>
              <w:tab/>
            </w:r>
            <w:r w:rsidR="00FA7347" w:rsidRPr="004F3F74">
              <w:rPr>
                <w:rStyle w:val="Hyperlink"/>
                <w:noProof/>
              </w:rPr>
              <w:t xml:space="preserve"> UH UPR IM18 Open Access Policy</w:t>
            </w:r>
            <w:r w:rsidR="00FA7347">
              <w:rPr>
                <w:noProof/>
                <w:webHidden/>
              </w:rPr>
              <w:tab/>
            </w:r>
            <w:r w:rsidR="00FA7347">
              <w:rPr>
                <w:noProof/>
                <w:webHidden/>
              </w:rPr>
              <w:fldChar w:fldCharType="begin"/>
            </w:r>
            <w:r w:rsidR="00FA7347">
              <w:rPr>
                <w:noProof/>
                <w:webHidden/>
              </w:rPr>
              <w:instrText xml:space="preserve"> PAGEREF _Toc65071797 \h </w:instrText>
            </w:r>
            <w:r w:rsidR="00FA7347">
              <w:rPr>
                <w:noProof/>
                <w:webHidden/>
              </w:rPr>
            </w:r>
            <w:r w:rsidR="00FA7347">
              <w:rPr>
                <w:noProof/>
                <w:webHidden/>
              </w:rPr>
              <w:fldChar w:fldCharType="separate"/>
            </w:r>
            <w:r w:rsidR="002B3F45">
              <w:rPr>
                <w:noProof/>
                <w:webHidden/>
              </w:rPr>
              <w:t>7</w:t>
            </w:r>
            <w:r w:rsidR="00FA7347">
              <w:rPr>
                <w:noProof/>
                <w:webHidden/>
              </w:rPr>
              <w:fldChar w:fldCharType="end"/>
            </w:r>
          </w:hyperlink>
        </w:p>
        <w:p w14:paraId="3C832994" w14:textId="149C72AC" w:rsidR="00FA7347" w:rsidRDefault="0006699F">
          <w:pPr>
            <w:pStyle w:val="TOC1"/>
            <w:tabs>
              <w:tab w:val="left" w:pos="1320"/>
              <w:tab w:val="right" w:pos="9350"/>
            </w:tabs>
            <w:rPr>
              <w:rFonts w:eastAsiaTheme="minorEastAsia"/>
              <w:b w:val="0"/>
              <w:bCs w:val="0"/>
              <w:noProof/>
              <w:sz w:val="24"/>
              <w:szCs w:val="24"/>
              <w:lang w:val="en-GB" w:eastAsia="en-GB"/>
            </w:rPr>
          </w:pPr>
          <w:hyperlink w:anchor="_Toc65071798" w:history="1">
            <w:r w:rsidR="00FA7347" w:rsidRPr="004F3F74">
              <w:rPr>
                <w:rStyle w:val="Hyperlink"/>
                <w:noProof/>
              </w:rPr>
              <w:t>Appendix B</w:t>
            </w:r>
            <w:r w:rsidR="00FA7347">
              <w:rPr>
                <w:rFonts w:eastAsiaTheme="minorEastAsia"/>
                <w:b w:val="0"/>
                <w:bCs w:val="0"/>
                <w:noProof/>
                <w:sz w:val="24"/>
                <w:szCs w:val="24"/>
                <w:lang w:val="en-GB" w:eastAsia="en-GB"/>
              </w:rPr>
              <w:tab/>
            </w:r>
            <w:r w:rsidR="00FA7347" w:rsidRPr="004F3F74">
              <w:rPr>
                <w:rStyle w:val="Hyperlink"/>
                <w:noProof/>
              </w:rPr>
              <w:t>Research Systems</w:t>
            </w:r>
            <w:r w:rsidR="00FA7347">
              <w:rPr>
                <w:noProof/>
                <w:webHidden/>
              </w:rPr>
              <w:tab/>
            </w:r>
            <w:r w:rsidR="00FA7347">
              <w:rPr>
                <w:noProof/>
                <w:webHidden/>
              </w:rPr>
              <w:fldChar w:fldCharType="begin"/>
            </w:r>
            <w:r w:rsidR="00FA7347">
              <w:rPr>
                <w:noProof/>
                <w:webHidden/>
              </w:rPr>
              <w:instrText xml:space="preserve"> PAGEREF _Toc65071798 \h </w:instrText>
            </w:r>
            <w:r w:rsidR="00FA7347">
              <w:rPr>
                <w:noProof/>
                <w:webHidden/>
              </w:rPr>
            </w:r>
            <w:r w:rsidR="00FA7347">
              <w:rPr>
                <w:noProof/>
                <w:webHidden/>
              </w:rPr>
              <w:fldChar w:fldCharType="separate"/>
            </w:r>
            <w:r w:rsidR="002B3F45">
              <w:rPr>
                <w:noProof/>
                <w:webHidden/>
              </w:rPr>
              <w:t>7</w:t>
            </w:r>
            <w:r w:rsidR="00FA7347">
              <w:rPr>
                <w:noProof/>
                <w:webHidden/>
              </w:rPr>
              <w:fldChar w:fldCharType="end"/>
            </w:r>
          </w:hyperlink>
        </w:p>
        <w:p w14:paraId="0EDEE9D6" w14:textId="6A636E93" w:rsidR="00FA7347" w:rsidRDefault="0006699F">
          <w:pPr>
            <w:pStyle w:val="TOC1"/>
            <w:tabs>
              <w:tab w:val="left" w:pos="1320"/>
              <w:tab w:val="right" w:pos="9350"/>
            </w:tabs>
            <w:rPr>
              <w:rFonts w:eastAsiaTheme="minorEastAsia"/>
              <w:b w:val="0"/>
              <w:bCs w:val="0"/>
              <w:noProof/>
              <w:sz w:val="24"/>
              <w:szCs w:val="24"/>
              <w:lang w:val="en-GB" w:eastAsia="en-GB"/>
            </w:rPr>
          </w:pPr>
          <w:hyperlink w:anchor="_Toc65071799" w:history="1">
            <w:r w:rsidR="00FA7347" w:rsidRPr="004F3F74">
              <w:rPr>
                <w:rStyle w:val="Hyperlink"/>
                <w:noProof/>
              </w:rPr>
              <w:t>Appendix C</w:t>
            </w:r>
            <w:r w:rsidR="00FA7347">
              <w:rPr>
                <w:rFonts w:eastAsiaTheme="minorEastAsia"/>
                <w:b w:val="0"/>
                <w:bCs w:val="0"/>
                <w:noProof/>
                <w:sz w:val="24"/>
                <w:szCs w:val="24"/>
                <w:lang w:val="en-GB" w:eastAsia="en-GB"/>
              </w:rPr>
              <w:tab/>
            </w:r>
            <w:r w:rsidR="00FA7347" w:rsidRPr="004F3F74">
              <w:rPr>
                <w:rStyle w:val="Hyperlink"/>
                <w:noProof/>
              </w:rPr>
              <w:t>Workflow Notes</w:t>
            </w:r>
            <w:r w:rsidR="00FA7347">
              <w:rPr>
                <w:noProof/>
                <w:webHidden/>
              </w:rPr>
              <w:tab/>
            </w:r>
            <w:r w:rsidR="00FA7347">
              <w:rPr>
                <w:noProof/>
                <w:webHidden/>
              </w:rPr>
              <w:fldChar w:fldCharType="begin"/>
            </w:r>
            <w:r w:rsidR="00FA7347">
              <w:rPr>
                <w:noProof/>
                <w:webHidden/>
              </w:rPr>
              <w:instrText xml:space="preserve"> PAGEREF _Toc65071799 \h </w:instrText>
            </w:r>
            <w:r w:rsidR="00FA7347">
              <w:rPr>
                <w:noProof/>
                <w:webHidden/>
              </w:rPr>
            </w:r>
            <w:r w:rsidR="00FA7347">
              <w:rPr>
                <w:noProof/>
                <w:webHidden/>
              </w:rPr>
              <w:fldChar w:fldCharType="separate"/>
            </w:r>
            <w:r w:rsidR="002B3F45">
              <w:rPr>
                <w:noProof/>
                <w:webHidden/>
              </w:rPr>
              <w:t>8</w:t>
            </w:r>
            <w:r w:rsidR="00FA7347">
              <w:rPr>
                <w:noProof/>
                <w:webHidden/>
              </w:rPr>
              <w:fldChar w:fldCharType="end"/>
            </w:r>
          </w:hyperlink>
        </w:p>
        <w:p w14:paraId="18BD6CC5" w14:textId="26E23206" w:rsidR="00FA7347" w:rsidRDefault="0006699F">
          <w:pPr>
            <w:pStyle w:val="TOC1"/>
            <w:tabs>
              <w:tab w:val="left" w:pos="1320"/>
              <w:tab w:val="right" w:pos="9350"/>
            </w:tabs>
            <w:rPr>
              <w:rFonts w:eastAsiaTheme="minorEastAsia"/>
              <w:b w:val="0"/>
              <w:bCs w:val="0"/>
              <w:noProof/>
              <w:sz w:val="24"/>
              <w:szCs w:val="24"/>
              <w:lang w:val="en-GB" w:eastAsia="en-GB"/>
            </w:rPr>
          </w:pPr>
          <w:hyperlink w:anchor="_Toc65071800" w:history="1">
            <w:r w:rsidR="00FA7347" w:rsidRPr="004F3F74">
              <w:rPr>
                <w:rStyle w:val="Hyperlink"/>
                <w:noProof/>
              </w:rPr>
              <w:t xml:space="preserve">Appendix D </w:t>
            </w:r>
            <w:r w:rsidR="00FA7347">
              <w:rPr>
                <w:rFonts w:eastAsiaTheme="minorEastAsia"/>
                <w:b w:val="0"/>
                <w:bCs w:val="0"/>
                <w:noProof/>
                <w:sz w:val="24"/>
                <w:szCs w:val="24"/>
                <w:lang w:val="en-GB" w:eastAsia="en-GB"/>
              </w:rPr>
              <w:tab/>
            </w:r>
            <w:r w:rsidR="00FA7347" w:rsidRPr="004F3F74">
              <w:rPr>
                <w:rStyle w:val="Hyperlink"/>
                <w:noProof/>
              </w:rPr>
              <w:t>RSC curation manual</w:t>
            </w:r>
            <w:r w:rsidR="00FA7347">
              <w:rPr>
                <w:noProof/>
                <w:webHidden/>
              </w:rPr>
              <w:tab/>
            </w:r>
            <w:r w:rsidR="00FA7347">
              <w:rPr>
                <w:noProof/>
                <w:webHidden/>
              </w:rPr>
              <w:fldChar w:fldCharType="begin"/>
            </w:r>
            <w:r w:rsidR="00FA7347">
              <w:rPr>
                <w:noProof/>
                <w:webHidden/>
              </w:rPr>
              <w:instrText xml:space="preserve"> PAGEREF _Toc65071800 \h </w:instrText>
            </w:r>
            <w:r w:rsidR="00FA7347">
              <w:rPr>
                <w:noProof/>
                <w:webHidden/>
              </w:rPr>
            </w:r>
            <w:r w:rsidR="00FA7347">
              <w:rPr>
                <w:noProof/>
                <w:webHidden/>
              </w:rPr>
              <w:fldChar w:fldCharType="separate"/>
            </w:r>
            <w:r w:rsidR="002B3F45">
              <w:rPr>
                <w:noProof/>
                <w:webHidden/>
              </w:rPr>
              <w:t>12</w:t>
            </w:r>
            <w:r w:rsidR="00FA7347">
              <w:rPr>
                <w:noProof/>
                <w:webHidden/>
              </w:rPr>
              <w:fldChar w:fldCharType="end"/>
            </w:r>
          </w:hyperlink>
        </w:p>
        <w:p w14:paraId="3602739F" w14:textId="4C4967EC" w:rsidR="00FA7347" w:rsidRDefault="0006699F">
          <w:pPr>
            <w:pStyle w:val="TOC1"/>
            <w:tabs>
              <w:tab w:val="left" w:pos="1320"/>
              <w:tab w:val="right" w:pos="9350"/>
            </w:tabs>
            <w:rPr>
              <w:rFonts w:eastAsiaTheme="minorEastAsia"/>
              <w:b w:val="0"/>
              <w:bCs w:val="0"/>
              <w:noProof/>
              <w:sz w:val="24"/>
              <w:szCs w:val="24"/>
              <w:lang w:val="en-GB" w:eastAsia="en-GB"/>
            </w:rPr>
          </w:pPr>
          <w:hyperlink w:anchor="_Toc65071801" w:history="1">
            <w:r w:rsidR="00FA7347" w:rsidRPr="004F3F74">
              <w:rPr>
                <w:rStyle w:val="Hyperlink"/>
                <w:noProof/>
              </w:rPr>
              <w:t>Appendix E</w:t>
            </w:r>
            <w:r w:rsidR="00FA7347">
              <w:rPr>
                <w:rFonts w:eastAsiaTheme="minorEastAsia"/>
                <w:b w:val="0"/>
                <w:bCs w:val="0"/>
                <w:noProof/>
                <w:sz w:val="24"/>
                <w:szCs w:val="24"/>
                <w:lang w:val="en-GB" w:eastAsia="en-GB"/>
              </w:rPr>
              <w:tab/>
            </w:r>
            <w:r w:rsidR="00FA7347" w:rsidRPr="004F3F74">
              <w:rPr>
                <w:rStyle w:val="Hyperlink"/>
                <w:noProof/>
              </w:rPr>
              <w:t xml:space="preserve"> Process challenges notes</w:t>
            </w:r>
            <w:r w:rsidR="00FA7347">
              <w:rPr>
                <w:noProof/>
                <w:webHidden/>
              </w:rPr>
              <w:tab/>
            </w:r>
            <w:r w:rsidR="00FA7347">
              <w:rPr>
                <w:noProof/>
                <w:webHidden/>
              </w:rPr>
              <w:fldChar w:fldCharType="begin"/>
            </w:r>
            <w:r w:rsidR="00FA7347">
              <w:rPr>
                <w:noProof/>
                <w:webHidden/>
              </w:rPr>
              <w:instrText xml:space="preserve"> PAGEREF _Toc65071801 \h </w:instrText>
            </w:r>
            <w:r w:rsidR="00FA7347">
              <w:rPr>
                <w:noProof/>
                <w:webHidden/>
              </w:rPr>
            </w:r>
            <w:r w:rsidR="00FA7347">
              <w:rPr>
                <w:noProof/>
                <w:webHidden/>
              </w:rPr>
              <w:fldChar w:fldCharType="separate"/>
            </w:r>
            <w:r w:rsidR="002B3F45">
              <w:rPr>
                <w:noProof/>
                <w:webHidden/>
              </w:rPr>
              <w:t>13</w:t>
            </w:r>
            <w:r w:rsidR="00FA7347">
              <w:rPr>
                <w:noProof/>
                <w:webHidden/>
              </w:rPr>
              <w:fldChar w:fldCharType="end"/>
            </w:r>
          </w:hyperlink>
        </w:p>
        <w:p w14:paraId="171A5B21" w14:textId="134435AA" w:rsidR="00FA7347" w:rsidRDefault="0006699F">
          <w:pPr>
            <w:pStyle w:val="TOC1"/>
            <w:tabs>
              <w:tab w:val="left" w:pos="1320"/>
              <w:tab w:val="right" w:pos="9350"/>
            </w:tabs>
            <w:rPr>
              <w:rFonts w:eastAsiaTheme="minorEastAsia"/>
              <w:b w:val="0"/>
              <w:bCs w:val="0"/>
              <w:noProof/>
              <w:sz w:val="24"/>
              <w:szCs w:val="24"/>
              <w:lang w:val="en-GB" w:eastAsia="en-GB"/>
            </w:rPr>
          </w:pPr>
          <w:hyperlink w:anchor="_Toc65071802" w:history="1">
            <w:r w:rsidR="00FA7347" w:rsidRPr="004F3F74">
              <w:rPr>
                <w:rStyle w:val="Hyperlink"/>
                <w:noProof/>
              </w:rPr>
              <w:t xml:space="preserve">Appendix F </w:t>
            </w:r>
            <w:r w:rsidR="00FA7347">
              <w:rPr>
                <w:rFonts w:eastAsiaTheme="minorEastAsia"/>
                <w:b w:val="0"/>
                <w:bCs w:val="0"/>
                <w:noProof/>
                <w:sz w:val="24"/>
                <w:szCs w:val="24"/>
                <w:lang w:val="en-GB" w:eastAsia="en-GB"/>
              </w:rPr>
              <w:tab/>
            </w:r>
            <w:r w:rsidR="00FA7347" w:rsidRPr="004F3F74">
              <w:rPr>
                <w:rStyle w:val="Hyperlink"/>
                <w:noProof/>
              </w:rPr>
              <w:t>Specimen Research Committee report (extract)</w:t>
            </w:r>
            <w:r w:rsidR="00FA7347">
              <w:rPr>
                <w:noProof/>
                <w:webHidden/>
              </w:rPr>
              <w:tab/>
            </w:r>
            <w:r w:rsidR="00FA7347">
              <w:rPr>
                <w:noProof/>
                <w:webHidden/>
              </w:rPr>
              <w:fldChar w:fldCharType="begin"/>
            </w:r>
            <w:r w:rsidR="00FA7347">
              <w:rPr>
                <w:noProof/>
                <w:webHidden/>
              </w:rPr>
              <w:instrText xml:space="preserve"> PAGEREF _Toc65071802 \h </w:instrText>
            </w:r>
            <w:r w:rsidR="00FA7347">
              <w:rPr>
                <w:noProof/>
                <w:webHidden/>
              </w:rPr>
            </w:r>
            <w:r w:rsidR="00FA7347">
              <w:rPr>
                <w:noProof/>
                <w:webHidden/>
              </w:rPr>
              <w:fldChar w:fldCharType="separate"/>
            </w:r>
            <w:r w:rsidR="002B3F45">
              <w:rPr>
                <w:noProof/>
                <w:webHidden/>
              </w:rPr>
              <w:t>14</w:t>
            </w:r>
            <w:r w:rsidR="00FA7347">
              <w:rPr>
                <w:noProof/>
                <w:webHidden/>
              </w:rPr>
              <w:fldChar w:fldCharType="end"/>
            </w:r>
          </w:hyperlink>
        </w:p>
        <w:p w14:paraId="6926B596" w14:textId="2A19FC6B" w:rsidR="00FA7347" w:rsidRDefault="0006699F">
          <w:pPr>
            <w:pStyle w:val="TOC1"/>
            <w:tabs>
              <w:tab w:val="left" w:pos="1320"/>
              <w:tab w:val="right" w:pos="9350"/>
            </w:tabs>
            <w:rPr>
              <w:rFonts w:eastAsiaTheme="minorEastAsia"/>
              <w:b w:val="0"/>
              <w:bCs w:val="0"/>
              <w:noProof/>
              <w:sz w:val="24"/>
              <w:szCs w:val="24"/>
              <w:lang w:val="en-GB" w:eastAsia="en-GB"/>
            </w:rPr>
          </w:pPr>
          <w:hyperlink w:anchor="_Toc65071803" w:history="1">
            <w:r w:rsidR="00FA7347" w:rsidRPr="004F3F74">
              <w:rPr>
                <w:rStyle w:val="Hyperlink"/>
                <w:rFonts w:eastAsia="Calibri" w:cs="Calibri"/>
                <w:noProof/>
              </w:rPr>
              <w:t xml:space="preserve">Appendix G </w:t>
            </w:r>
            <w:r w:rsidR="00FA7347">
              <w:rPr>
                <w:rFonts w:eastAsiaTheme="minorEastAsia"/>
                <w:b w:val="0"/>
                <w:bCs w:val="0"/>
                <w:noProof/>
                <w:sz w:val="24"/>
                <w:szCs w:val="24"/>
                <w:lang w:val="en-GB" w:eastAsia="en-GB"/>
              </w:rPr>
              <w:tab/>
            </w:r>
            <w:r w:rsidR="00FA7347" w:rsidRPr="004F3F74">
              <w:rPr>
                <w:rStyle w:val="Hyperlink"/>
                <w:rFonts w:eastAsia="Calibri" w:cs="Calibri"/>
                <w:noProof/>
              </w:rPr>
              <w:t>RCUK open access return 2016</w:t>
            </w:r>
            <w:r w:rsidR="00FA7347">
              <w:rPr>
                <w:noProof/>
                <w:webHidden/>
              </w:rPr>
              <w:tab/>
            </w:r>
            <w:r w:rsidR="00FA7347">
              <w:rPr>
                <w:noProof/>
                <w:webHidden/>
              </w:rPr>
              <w:fldChar w:fldCharType="begin"/>
            </w:r>
            <w:r w:rsidR="00FA7347">
              <w:rPr>
                <w:noProof/>
                <w:webHidden/>
              </w:rPr>
              <w:instrText xml:space="preserve"> PAGEREF _Toc65071803 \h </w:instrText>
            </w:r>
            <w:r w:rsidR="00FA7347">
              <w:rPr>
                <w:noProof/>
                <w:webHidden/>
              </w:rPr>
            </w:r>
            <w:r w:rsidR="00FA7347">
              <w:rPr>
                <w:noProof/>
                <w:webHidden/>
              </w:rPr>
              <w:fldChar w:fldCharType="separate"/>
            </w:r>
            <w:r w:rsidR="002B3F45">
              <w:rPr>
                <w:noProof/>
                <w:webHidden/>
              </w:rPr>
              <w:t>16</w:t>
            </w:r>
            <w:r w:rsidR="00FA7347">
              <w:rPr>
                <w:noProof/>
                <w:webHidden/>
              </w:rPr>
              <w:fldChar w:fldCharType="end"/>
            </w:r>
          </w:hyperlink>
        </w:p>
        <w:p w14:paraId="0D1128F7" w14:textId="7C9730F6" w:rsidR="00FA7347" w:rsidRDefault="0006699F">
          <w:pPr>
            <w:pStyle w:val="TOC1"/>
            <w:tabs>
              <w:tab w:val="left" w:pos="1320"/>
              <w:tab w:val="right" w:pos="9350"/>
            </w:tabs>
            <w:rPr>
              <w:rFonts w:eastAsiaTheme="minorEastAsia"/>
              <w:b w:val="0"/>
              <w:bCs w:val="0"/>
              <w:noProof/>
              <w:sz w:val="24"/>
              <w:szCs w:val="24"/>
              <w:lang w:val="en-GB" w:eastAsia="en-GB"/>
            </w:rPr>
          </w:pPr>
          <w:hyperlink w:anchor="_Toc65071804" w:history="1">
            <w:r w:rsidR="00FA7347" w:rsidRPr="004F3F74">
              <w:rPr>
                <w:rStyle w:val="Hyperlink"/>
                <w:noProof/>
              </w:rPr>
              <w:t xml:space="preserve">Appendix H </w:t>
            </w:r>
            <w:r w:rsidR="00FA7347">
              <w:rPr>
                <w:rFonts w:eastAsiaTheme="minorEastAsia"/>
                <w:b w:val="0"/>
                <w:bCs w:val="0"/>
                <w:noProof/>
                <w:sz w:val="24"/>
                <w:szCs w:val="24"/>
                <w:lang w:val="en-GB" w:eastAsia="en-GB"/>
              </w:rPr>
              <w:tab/>
            </w:r>
            <w:r w:rsidR="00FA7347" w:rsidRPr="004F3F74">
              <w:rPr>
                <w:rStyle w:val="Hyperlink"/>
                <w:noProof/>
              </w:rPr>
              <w:t>Specimen Open Access metrics report</w:t>
            </w:r>
            <w:r w:rsidR="00FA7347">
              <w:rPr>
                <w:noProof/>
                <w:webHidden/>
              </w:rPr>
              <w:tab/>
            </w:r>
            <w:r w:rsidR="00FA7347">
              <w:rPr>
                <w:noProof/>
                <w:webHidden/>
              </w:rPr>
              <w:fldChar w:fldCharType="begin"/>
            </w:r>
            <w:r w:rsidR="00FA7347">
              <w:rPr>
                <w:noProof/>
                <w:webHidden/>
              </w:rPr>
              <w:instrText xml:space="preserve"> PAGEREF _Toc65071804 \h </w:instrText>
            </w:r>
            <w:r w:rsidR="00FA7347">
              <w:rPr>
                <w:noProof/>
                <w:webHidden/>
              </w:rPr>
            </w:r>
            <w:r w:rsidR="00FA7347">
              <w:rPr>
                <w:noProof/>
                <w:webHidden/>
              </w:rPr>
              <w:fldChar w:fldCharType="separate"/>
            </w:r>
            <w:r w:rsidR="002B3F45">
              <w:rPr>
                <w:noProof/>
                <w:webHidden/>
              </w:rPr>
              <w:t>16</w:t>
            </w:r>
            <w:r w:rsidR="00FA7347">
              <w:rPr>
                <w:noProof/>
                <w:webHidden/>
              </w:rPr>
              <w:fldChar w:fldCharType="end"/>
            </w:r>
          </w:hyperlink>
        </w:p>
        <w:p w14:paraId="0C31E939" w14:textId="1B4FDA22" w:rsidR="007917C6" w:rsidRDefault="00B75190">
          <w:r>
            <w:rPr>
              <w:rFonts w:asciiTheme="majorHAnsi" w:hAnsiTheme="majorHAnsi" w:cstheme="majorHAnsi"/>
              <w:caps/>
              <w:sz w:val="24"/>
              <w:szCs w:val="24"/>
            </w:rPr>
            <w:fldChar w:fldCharType="end"/>
          </w:r>
        </w:p>
      </w:sdtContent>
    </w:sdt>
    <w:p w14:paraId="170CDEB8" w14:textId="5FC4F8D5" w:rsidR="00FA6170" w:rsidRPr="00307753" w:rsidRDefault="00FA6170"/>
    <w:p w14:paraId="1E8A9299" w14:textId="77777777" w:rsidR="0012549A" w:rsidRDefault="0012549A" w:rsidP="00A05CBF">
      <w:pPr>
        <w:pStyle w:val="Heading1"/>
        <w:rPr>
          <w:rStyle w:val="Heading3Char"/>
          <w:rFonts w:asciiTheme="minorHAnsi" w:hAnsiTheme="minorHAnsi"/>
          <w:color w:val="2F5496" w:themeColor="accent1" w:themeShade="BF"/>
          <w:sz w:val="32"/>
          <w:szCs w:val="32"/>
        </w:rPr>
        <w:sectPr w:rsidR="0012549A" w:rsidSect="00EC239B">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0"/>
          <w:cols w:space="720"/>
          <w:titlePg/>
          <w:docGrid w:linePitch="360"/>
        </w:sectPr>
      </w:pPr>
    </w:p>
    <w:p w14:paraId="0AE45B6C" w14:textId="13A0E554" w:rsidR="00784387" w:rsidRPr="00307753" w:rsidRDefault="00365073" w:rsidP="00A05CBF">
      <w:pPr>
        <w:pStyle w:val="Heading1"/>
        <w:rPr>
          <w:rFonts w:asciiTheme="minorHAnsi" w:hAnsiTheme="minorHAnsi"/>
        </w:rPr>
      </w:pPr>
      <w:bookmarkStart w:id="1" w:name="_Toc65071782"/>
      <w:r w:rsidRPr="00307753">
        <w:rPr>
          <w:rStyle w:val="Heading3Char"/>
          <w:rFonts w:asciiTheme="minorHAnsi" w:hAnsiTheme="minorHAnsi"/>
          <w:color w:val="2F5496" w:themeColor="accent1" w:themeShade="BF"/>
          <w:sz w:val="32"/>
          <w:szCs w:val="32"/>
        </w:rPr>
        <w:lastRenderedPageBreak/>
        <w:t>1</w:t>
      </w:r>
      <w:r w:rsidRPr="00307753">
        <w:rPr>
          <w:rStyle w:val="Heading3Char"/>
          <w:rFonts w:asciiTheme="minorHAnsi" w:hAnsiTheme="minorHAnsi"/>
          <w:color w:val="2F5496" w:themeColor="accent1" w:themeShade="BF"/>
          <w:sz w:val="32"/>
          <w:szCs w:val="32"/>
        </w:rPr>
        <w:tab/>
      </w:r>
      <w:r w:rsidR="18908708" w:rsidRPr="00307753">
        <w:rPr>
          <w:rStyle w:val="Heading3Char"/>
          <w:rFonts w:asciiTheme="minorHAnsi" w:hAnsiTheme="minorHAnsi"/>
          <w:color w:val="2F5496" w:themeColor="accent1" w:themeShade="BF"/>
          <w:sz w:val="32"/>
          <w:szCs w:val="32"/>
        </w:rPr>
        <w:t>Open Access Policy</w:t>
      </w:r>
      <w:bookmarkEnd w:id="1"/>
      <w:r w:rsidR="18908708" w:rsidRPr="00307753">
        <w:rPr>
          <w:rFonts w:asciiTheme="minorHAnsi" w:hAnsiTheme="minorHAnsi"/>
        </w:rPr>
        <w:t xml:space="preserve"> </w:t>
      </w:r>
    </w:p>
    <w:p w14:paraId="031AD694" w14:textId="5EB817DE" w:rsidR="00A05CBF" w:rsidRPr="00307753" w:rsidRDefault="00784387" w:rsidP="1D83AC7A">
      <w:pPr>
        <w:spacing w:before="120" w:after="120"/>
      </w:pPr>
      <w:r w:rsidRPr="00307753">
        <w:t xml:space="preserve">The </w:t>
      </w:r>
      <w:r w:rsidR="00247A54" w:rsidRPr="00307753">
        <w:t>u</w:t>
      </w:r>
      <w:r w:rsidRPr="00307753">
        <w:t xml:space="preserve">niversity’s </w:t>
      </w:r>
      <w:r w:rsidR="18908708" w:rsidRPr="00307753">
        <w:t>O</w:t>
      </w:r>
      <w:r w:rsidRPr="00307753">
        <w:t xml:space="preserve">pen </w:t>
      </w:r>
      <w:r w:rsidR="18908708" w:rsidRPr="00307753">
        <w:t>A</w:t>
      </w:r>
      <w:r w:rsidRPr="00307753">
        <w:t>ccess (OA)</w:t>
      </w:r>
      <w:r w:rsidR="18908708" w:rsidRPr="00307753">
        <w:t xml:space="preserve"> policy mandates </w:t>
      </w:r>
      <w:r w:rsidR="00A05CBF" w:rsidRPr="00307753">
        <w:t xml:space="preserve">Green OA. That is, </w:t>
      </w:r>
      <w:r w:rsidR="18908708" w:rsidRPr="00307753">
        <w:t>self-deposit of all research outputs and theses</w:t>
      </w:r>
      <w:r w:rsidR="004612DE" w:rsidRPr="00307753">
        <w:t xml:space="preserve"> by authors</w:t>
      </w:r>
      <w:r w:rsidR="00A05CBF" w:rsidRPr="00307753">
        <w:t xml:space="preserve">. </w:t>
      </w:r>
      <w:r w:rsidR="18908708" w:rsidRPr="00307753">
        <w:t xml:space="preserve">It also allows for Gold OA. </w:t>
      </w:r>
    </w:p>
    <w:p w14:paraId="3493723D" w14:textId="4BAB0A83" w:rsidR="00510642" w:rsidRPr="00307753" w:rsidRDefault="18908708" w:rsidP="1D83AC7A">
      <w:pPr>
        <w:spacing w:before="120" w:after="120"/>
      </w:pPr>
      <w:r w:rsidRPr="00307753">
        <w:t>Th</w:t>
      </w:r>
      <w:r w:rsidR="00A05CBF" w:rsidRPr="00307753">
        <w:t>e policy was established in 2007 with the implementation of the university’s i</w:t>
      </w:r>
      <w:r w:rsidR="00A05CBF" w:rsidRPr="00307753">
        <w:rPr>
          <w:rFonts w:eastAsia="Calibri" w:cs="Calibri"/>
        </w:rPr>
        <w:t xml:space="preserve">nstitutional </w:t>
      </w:r>
      <w:r w:rsidR="00D945D7" w:rsidRPr="00307753">
        <w:rPr>
          <w:rFonts w:eastAsia="Calibri" w:cs="Calibri"/>
        </w:rPr>
        <w:t xml:space="preserve">repository; </w:t>
      </w:r>
      <w:r w:rsidR="00D945D7" w:rsidRPr="00307753">
        <w:t>and</w:t>
      </w:r>
      <w:r w:rsidRPr="00307753">
        <w:t xml:space="preserve"> updated in 2015 to align its descriptions of OA with the prevailing terms used by the </w:t>
      </w:r>
      <w:r w:rsidR="004E4F63" w:rsidRPr="00307753">
        <w:t>s</w:t>
      </w:r>
      <w:r w:rsidRPr="00307753">
        <w:t xml:space="preserve">cholarly </w:t>
      </w:r>
      <w:r w:rsidR="004E4F63" w:rsidRPr="00307753">
        <w:t>c</w:t>
      </w:r>
      <w:r w:rsidRPr="00307753">
        <w:t xml:space="preserve">ommunications community.  </w:t>
      </w:r>
    </w:p>
    <w:p w14:paraId="69D20494" w14:textId="7C6C7CE3" w:rsidR="1D83AC7A" w:rsidRPr="00307753" w:rsidRDefault="0006699F" w:rsidP="1D83AC7A">
      <w:pPr>
        <w:spacing w:before="120" w:after="120"/>
      </w:pPr>
      <w:hyperlink r:id="rId13" w:history="1">
        <w:r w:rsidR="0022360B" w:rsidRPr="00307753">
          <w:rPr>
            <w:rStyle w:val="Hyperlink"/>
          </w:rPr>
          <w:t>Appendix A (online) U</w:t>
        </w:r>
        <w:r w:rsidR="18908708" w:rsidRPr="00307753">
          <w:rPr>
            <w:rStyle w:val="Hyperlink"/>
          </w:rPr>
          <w:t>H</w:t>
        </w:r>
        <w:r w:rsidR="00510642" w:rsidRPr="00307753">
          <w:rPr>
            <w:rStyle w:val="Hyperlink"/>
          </w:rPr>
          <w:t xml:space="preserve"> </w:t>
        </w:r>
        <w:r w:rsidR="18908708" w:rsidRPr="00307753">
          <w:rPr>
            <w:rStyle w:val="Hyperlink"/>
          </w:rPr>
          <w:t>UPR IM18</w:t>
        </w:r>
        <w:r w:rsidR="00510642" w:rsidRPr="00307753">
          <w:rPr>
            <w:rStyle w:val="Hyperlink"/>
          </w:rPr>
          <w:t xml:space="preserve"> Open Access Policy</w:t>
        </w:r>
      </w:hyperlink>
      <w:r w:rsidR="18908708" w:rsidRPr="00307753">
        <w:t xml:space="preserve"> </w:t>
      </w:r>
    </w:p>
    <w:p w14:paraId="538BC8AB" w14:textId="0A55CA96" w:rsidR="00365073" w:rsidRPr="00307753" w:rsidRDefault="00365073" w:rsidP="00976921">
      <w:pPr>
        <w:pStyle w:val="Heading1"/>
        <w:rPr>
          <w:rFonts w:asciiTheme="minorHAnsi" w:hAnsiTheme="minorHAnsi"/>
        </w:rPr>
      </w:pPr>
      <w:bookmarkStart w:id="2" w:name="_Toc65071783"/>
      <w:r w:rsidRPr="00307753">
        <w:rPr>
          <w:rFonts w:asciiTheme="minorHAnsi" w:hAnsiTheme="minorHAnsi"/>
        </w:rPr>
        <w:t>2</w:t>
      </w:r>
      <w:r w:rsidRPr="00307753">
        <w:rPr>
          <w:rFonts w:asciiTheme="minorHAnsi" w:hAnsiTheme="minorHAnsi"/>
        </w:rPr>
        <w:tab/>
      </w:r>
      <w:r w:rsidR="00292CCD" w:rsidRPr="00307753">
        <w:rPr>
          <w:rFonts w:asciiTheme="minorHAnsi" w:hAnsiTheme="minorHAnsi"/>
        </w:rPr>
        <w:t>OA Support</w:t>
      </w:r>
      <w:bookmarkEnd w:id="2"/>
    </w:p>
    <w:p w14:paraId="67E40B2B" w14:textId="7AA5D7D6" w:rsidR="00292CCD" w:rsidRPr="00307753" w:rsidRDefault="00292CCD" w:rsidP="00292CCD">
      <w:r w:rsidRPr="00307753">
        <w:t xml:space="preserve">The university supports OA </w:t>
      </w:r>
      <w:r w:rsidR="00643A65" w:rsidRPr="00307753">
        <w:t>via</w:t>
      </w:r>
      <w:r w:rsidRPr="00307753">
        <w:t xml:space="preserve"> </w:t>
      </w:r>
      <w:r w:rsidR="00365073" w:rsidRPr="00307753">
        <w:t xml:space="preserve">two </w:t>
      </w:r>
      <w:r w:rsidR="00EE36D3" w:rsidRPr="00307753">
        <w:t>co-working</w:t>
      </w:r>
      <w:r w:rsidR="00365073" w:rsidRPr="00307753">
        <w:t xml:space="preserve"> teams, </w:t>
      </w:r>
      <w:r w:rsidR="003D46AD" w:rsidRPr="00307753">
        <w:t xml:space="preserve">research information </w:t>
      </w:r>
      <w:r w:rsidR="00365073" w:rsidRPr="00307753">
        <w:t>systems</w:t>
      </w:r>
      <w:r w:rsidRPr="00307753">
        <w:t xml:space="preserve">, and </w:t>
      </w:r>
      <w:r w:rsidR="00EE36D3" w:rsidRPr="00307753">
        <w:t xml:space="preserve">direct </w:t>
      </w:r>
      <w:r w:rsidRPr="00307753">
        <w:t>funding</w:t>
      </w:r>
      <w:r w:rsidR="003D46AD" w:rsidRPr="00307753">
        <w:t xml:space="preserve"> for </w:t>
      </w:r>
      <w:r w:rsidR="00E04D30" w:rsidRPr="00307753">
        <w:t>publishing</w:t>
      </w:r>
      <w:r w:rsidRPr="00307753">
        <w:t>:</w:t>
      </w:r>
    </w:p>
    <w:p w14:paraId="21A56652" w14:textId="77777777" w:rsidR="00365073" w:rsidRPr="00307753" w:rsidRDefault="00365073" w:rsidP="00365073">
      <w:pPr>
        <w:pStyle w:val="Heading2"/>
        <w:rPr>
          <w:rFonts w:asciiTheme="minorHAnsi" w:eastAsia="Calibri" w:hAnsiTheme="minorHAnsi"/>
        </w:rPr>
      </w:pPr>
      <w:bookmarkStart w:id="3" w:name="_Toc65071784"/>
      <w:r w:rsidRPr="00307753">
        <w:rPr>
          <w:rFonts w:asciiTheme="minorHAnsi" w:eastAsia="Calibri" w:hAnsiTheme="minorHAnsi"/>
        </w:rPr>
        <w:t>2.1 Research &amp; Scholarly Communications Team (RSC)</w:t>
      </w:r>
      <w:bookmarkEnd w:id="3"/>
    </w:p>
    <w:p w14:paraId="0C4C3A8B" w14:textId="0D62B44A" w:rsidR="00365073" w:rsidRPr="00307753" w:rsidRDefault="00365073" w:rsidP="00365073">
      <w:pPr>
        <w:spacing w:before="120" w:after="120"/>
        <w:rPr>
          <w:rFonts w:eastAsia="Calibri" w:cs="Calibri"/>
        </w:rPr>
      </w:pPr>
      <w:r w:rsidRPr="00307753">
        <w:rPr>
          <w:rFonts w:eastAsia="Calibri" w:cs="Calibri"/>
        </w:rPr>
        <w:t xml:space="preserve">RSC co-ordinates and delivers research support from the university’s combined Library and Computing Service. This support includes </w:t>
      </w:r>
      <w:r w:rsidR="004E4F63" w:rsidRPr="00307753">
        <w:t>scholarly communications</w:t>
      </w:r>
      <w:r w:rsidR="004E4F63" w:rsidRPr="00307753">
        <w:rPr>
          <w:rFonts w:eastAsia="Calibri" w:cs="Calibri"/>
        </w:rPr>
        <w:t xml:space="preserve"> expertise, </w:t>
      </w:r>
      <w:r w:rsidR="0035315C" w:rsidRPr="00307753">
        <w:rPr>
          <w:rFonts w:eastAsia="Calibri" w:cs="Calibri"/>
        </w:rPr>
        <w:t xml:space="preserve">systems maintenance, </w:t>
      </w:r>
      <w:r w:rsidRPr="00307753">
        <w:rPr>
          <w:rFonts w:eastAsia="Calibri" w:cs="Calibri"/>
        </w:rPr>
        <w:t>research output</w:t>
      </w:r>
      <w:r w:rsidR="0035315C" w:rsidRPr="00307753">
        <w:rPr>
          <w:rFonts w:eastAsia="Calibri" w:cs="Calibri"/>
        </w:rPr>
        <w:t xml:space="preserve"> curation</w:t>
      </w:r>
      <w:r w:rsidRPr="00307753">
        <w:rPr>
          <w:rFonts w:eastAsia="Calibri" w:cs="Calibri"/>
        </w:rPr>
        <w:t>, compliance and reporting. RSC deliver advocacy, author support and training</w:t>
      </w:r>
      <w:r w:rsidR="0035315C" w:rsidRPr="00307753">
        <w:rPr>
          <w:rFonts w:eastAsia="Calibri" w:cs="Calibri"/>
        </w:rPr>
        <w:t xml:space="preserve"> jointly with Research Office.</w:t>
      </w:r>
      <w:r w:rsidRPr="00307753">
        <w:rPr>
          <w:rFonts w:eastAsia="Calibri" w:cs="Calibri"/>
        </w:rPr>
        <w:t xml:space="preserve"> </w:t>
      </w:r>
    </w:p>
    <w:p w14:paraId="40A4AC26" w14:textId="77777777" w:rsidR="00365073" w:rsidRPr="00307753" w:rsidRDefault="00365073" w:rsidP="00365073">
      <w:pPr>
        <w:pStyle w:val="Heading2"/>
        <w:rPr>
          <w:rFonts w:asciiTheme="minorHAnsi" w:eastAsia="Calibri" w:hAnsiTheme="minorHAnsi"/>
        </w:rPr>
      </w:pPr>
      <w:bookmarkStart w:id="4" w:name="_Toc65071785"/>
      <w:r w:rsidRPr="00307753">
        <w:rPr>
          <w:rFonts w:asciiTheme="minorHAnsi" w:eastAsia="Calibri" w:hAnsiTheme="minorHAnsi"/>
        </w:rPr>
        <w:t>2.2 Office of Vice-Chancellor Research Office (RO)</w:t>
      </w:r>
      <w:bookmarkEnd w:id="4"/>
    </w:p>
    <w:p w14:paraId="042FC262" w14:textId="3BE6F793" w:rsidR="00365073" w:rsidRPr="00307753" w:rsidRDefault="00365073" w:rsidP="00365073">
      <w:pPr>
        <w:spacing w:before="120" w:after="120"/>
        <w:rPr>
          <w:rFonts w:eastAsia="Calibri" w:cs="Calibri"/>
        </w:rPr>
      </w:pPr>
      <w:r w:rsidRPr="00307753">
        <w:rPr>
          <w:rFonts w:eastAsia="Calibri" w:cs="Calibri"/>
        </w:rPr>
        <w:t xml:space="preserve">RO have responsibility for research information governance, statutory returns, </w:t>
      </w:r>
      <w:r w:rsidR="009755CC" w:rsidRPr="00307753">
        <w:rPr>
          <w:rFonts w:eastAsia="Calibri" w:cs="Calibri"/>
        </w:rPr>
        <w:t xml:space="preserve">grant administration </w:t>
      </w:r>
      <w:r w:rsidR="0035315C" w:rsidRPr="00307753">
        <w:rPr>
          <w:rFonts w:eastAsia="Calibri" w:cs="Calibri"/>
        </w:rPr>
        <w:t xml:space="preserve">and </w:t>
      </w:r>
      <w:r w:rsidRPr="00307753">
        <w:rPr>
          <w:rFonts w:eastAsia="Calibri" w:cs="Calibri"/>
        </w:rPr>
        <w:t>REF Management</w:t>
      </w:r>
      <w:r w:rsidR="0035315C" w:rsidRPr="00307753">
        <w:rPr>
          <w:rFonts w:eastAsia="Calibri" w:cs="Calibri"/>
        </w:rPr>
        <w:t xml:space="preserve">. RO deliver </w:t>
      </w:r>
      <w:r w:rsidRPr="00307753">
        <w:rPr>
          <w:rFonts w:eastAsia="Calibri" w:cs="Calibri"/>
        </w:rPr>
        <w:t>advocacy, author support and training</w:t>
      </w:r>
      <w:r w:rsidR="0035315C" w:rsidRPr="00307753">
        <w:rPr>
          <w:rFonts w:eastAsia="Calibri" w:cs="Calibri"/>
        </w:rPr>
        <w:t xml:space="preserve"> jointly with RSC. </w:t>
      </w:r>
      <w:r w:rsidRPr="00307753">
        <w:rPr>
          <w:rFonts w:eastAsia="Calibri" w:cs="Calibri"/>
        </w:rPr>
        <w:t xml:space="preserve"> </w:t>
      </w:r>
    </w:p>
    <w:p w14:paraId="40EE52BF" w14:textId="62FA39AB" w:rsidR="00365073" w:rsidRPr="00307753" w:rsidRDefault="00365073" w:rsidP="00365073">
      <w:pPr>
        <w:pStyle w:val="Heading2"/>
        <w:rPr>
          <w:rFonts w:asciiTheme="minorHAnsi" w:hAnsiTheme="minorHAnsi"/>
        </w:rPr>
      </w:pPr>
      <w:bookmarkStart w:id="5" w:name="_Toc65071786"/>
      <w:r w:rsidRPr="00307753">
        <w:rPr>
          <w:rFonts w:asciiTheme="minorHAnsi" w:hAnsiTheme="minorHAnsi"/>
        </w:rPr>
        <w:t>2.3 Research Systems</w:t>
      </w:r>
      <w:bookmarkEnd w:id="5"/>
      <w:r w:rsidRPr="00307753">
        <w:rPr>
          <w:rFonts w:asciiTheme="minorHAnsi" w:hAnsiTheme="minorHAnsi"/>
        </w:rPr>
        <w:t xml:space="preserve"> </w:t>
      </w:r>
    </w:p>
    <w:p w14:paraId="475D17F2" w14:textId="00240F06" w:rsidR="008C398D" w:rsidRPr="00307753" w:rsidRDefault="008C398D" w:rsidP="008C398D">
      <w:r w:rsidRPr="00307753">
        <w:t>The university maintains a research information system (RIS)</w:t>
      </w:r>
      <w:r w:rsidR="009755CC" w:rsidRPr="00307753">
        <w:t xml:space="preserve">, and </w:t>
      </w:r>
      <w:r w:rsidRPr="00307753">
        <w:t>an institutional repository</w:t>
      </w:r>
      <w:r w:rsidR="00F761AF" w:rsidRPr="00307753">
        <w:t xml:space="preserve"> </w:t>
      </w:r>
      <w:r w:rsidR="00F761AF" w:rsidRPr="00307753">
        <w:rPr>
          <w:rFonts w:eastAsia="Calibri" w:cs="Calibri"/>
        </w:rPr>
        <w:t>(UHRA)</w:t>
      </w:r>
      <w:r w:rsidRPr="00307753">
        <w:t xml:space="preserve">.  </w:t>
      </w:r>
    </w:p>
    <w:p w14:paraId="76E716EA" w14:textId="412631C1" w:rsidR="008C398D" w:rsidRPr="00307753" w:rsidRDefault="008C398D" w:rsidP="008C398D">
      <w:pPr>
        <w:rPr>
          <w:rFonts w:eastAsia="Calibri" w:cs="Calibri"/>
        </w:rPr>
      </w:pPr>
      <w:r w:rsidRPr="00307753">
        <w:t xml:space="preserve">The </w:t>
      </w:r>
      <w:hyperlink r:id="rId14" w:history="1">
        <w:r w:rsidRPr="00307753">
          <w:rPr>
            <w:rStyle w:val="Hyperlink"/>
          </w:rPr>
          <w:t>RIS</w:t>
        </w:r>
      </w:hyperlink>
      <w:r w:rsidRPr="00307753">
        <w:t xml:space="preserve"> </w:t>
      </w:r>
      <w:r w:rsidRPr="00307753">
        <w:rPr>
          <w:rFonts w:eastAsia="Calibri" w:cs="Calibri"/>
        </w:rPr>
        <w:t xml:space="preserve">allows researchers to record details of their </w:t>
      </w:r>
      <w:r w:rsidR="00131017" w:rsidRPr="00307753">
        <w:rPr>
          <w:rFonts w:eastAsia="Calibri" w:cs="Calibri"/>
        </w:rPr>
        <w:t xml:space="preserve">research outputs, </w:t>
      </w:r>
      <w:r w:rsidRPr="00307753">
        <w:rPr>
          <w:rFonts w:eastAsia="Calibri" w:cs="Calibri"/>
        </w:rPr>
        <w:t xml:space="preserve">activities, </w:t>
      </w:r>
      <w:r w:rsidR="00131017" w:rsidRPr="00307753">
        <w:rPr>
          <w:rFonts w:eastAsia="Calibri" w:cs="Calibri"/>
        </w:rPr>
        <w:t xml:space="preserve">and </w:t>
      </w:r>
      <w:r w:rsidRPr="00307753">
        <w:rPr>
          <w:rFonts w:eastAsia="Calibri" w:cs="Calibri"/>
        </w:rPr>
        <w:t>projects</w:t>
      </w:r>
      <w:r w:rsidR="00D079A0" w:rsidRPr="00307753">
        <w:rPr>
          <w:rFonts w:eastAsia="Calibri" w:cs="Calibri"/>
        </w:rPr>
        <w:t>,</w:t>
      </w:r>
      <w:r w:rsidRPr="00307753">
        <w:rPr>
          <w:rFonts w:eastAsia="Calibri" w:cs="Calibri"/>
        </w:rPr>
        <w:t xml:space="preserve"> and manage their research grant applications and awards. </w:t>
      </w:r>
      <w:r w:rsidR="001C46BA" w:rsidRPr="00307753">
        <w:rPr>
          <w:rFonts w:eastAsia="Calibri" w:cs="Calibri"/>
        </w:rPr>
        <w:t>RIS includes</w:t>
      </w:r>
      <w:r w:rsidRPr="00307753">
        <w:rPr>
          <w:rFonts w:eastAsia="Calibri" w:cs="Calibri"/>
        </w:rPr>
        <w:t xml:space="preserve"> </w:t>
      </w:r>
      <w:r w:rsidR="001C46BA" w:rsidRPr="00307753">
        <w:rPr>
          <w:rFonts w:eastAsia="Calibri" w:cs="Calibri"/>
        </w:rPr>
        <w:t xml:space="preserve">a </w:t>
      </w:r>
      <w:hyperlink r:id="rId15" w:history="1">
        <w:r w:rsidRPr="00307753">
          <w:rPr>
            <w:rStyle w:val="Hyperlink"/>
            <w:rFonts w:eastAsia="Calibri" w:cs="Calibri"/>
          </w:rPr>
          <w:t>research portal</w:t>
        </w:r>
      </w:hyperlink>
      <w:r w:rsidRPr="00307753">
        <w:rPr>
          <w:rFonts w:eastAsia="Calibri" w:cs="Calibri"/>
        </w:rPr>
        <w:t xml:space="preserve"> that</w:t>
      </w:r>
      <w:r w:rsidR="001C46BA" w:rsidRPr="00307753">
        <w:rPr>
          <w:rFonts w:eastAsia="Calibri" w:cs="Calibri"/>
        </w:rPr>
        <w:t xml:space="preserve"> </w:t>
      </w:r>
      <w:r w:rsidR="00D079A0" w:rsidRPr="00307753">
        <w:rPr>
          <w:rFonts w:eastAsia="Calibri" w:cs="Calibri"/>
        </w:rPr>
        <w:t>presents</w:t>
      </w:r>
      <w:r w:rsidR="001C46BA" w:rsidRPr="00307753">
        <w:rPr>
          <w:rFonts w:eastAsia="Calibri" w:cs="Calibri"/>
        </w:rPr>
        <w:t xml:space="preserve"> this information via an organizational structure of schools, research centres and </w:t>
      </w:r>
      <w:r w:rsidR="00D079A0" w:rsidRPr="00307753">
        <w:rPr>
          <w:rFonts w:eastAsia="Calibri" w:cs="Calibri"/>
        </w:rPr>
        <w:t xml:space="preserve">research </w:t>
      </w:r>
      <w:r w:rsidR="001C46BA" w:rsidRPr="00307753">
        <w:rPr>
          <w:rFonts w:eastAsia="Calibri" w:cs="Calibri"/>
        </w:rPr>
        <w:t xml:space="preserve">groups.   </w:t>
      </w:r>
    </w:p>
    <w:p w14:paraId="580E7850" w14:textId="37631908" w:rsidR="001C46BA" w:rsidRPr="00307753" w:rsidRDefault="001C46BA" w:rsidP="008C398D">
      <w:r w:rsidRPr="00307753">
        <w:rPr>
          <w:rFonts w:eastAsia="Calibri" w:cs="Calibri"/>
        </w:rPr>
        <w:t xml:space="preserve">Research outputs are curated in RIS and </w:t>
      </w:r>
      <w:r w:rsidR="00D079A0" w:rsidRPr="00307753">
        <w:rPr>
          <w:rFonts w:eastAsia="Calibri" w:cs="Calibri"/>
        </w:rPr>
        <w:t>copied</w:t>
      </w:r>
      <w:r w:rsidRPr="00307753">
        <w:rPr>
          <w:rFonts w:eastAsia="Calibri" w:cs="Calibri"/>
        </w:rPr>
        <w:t xml:space="preserve"> to </w:t>
      </w:r>
      <w:hyperlink r:id="rId16" w:history="1">
        <w:r w:rsidR="00404023" w:rsidRPr="00307753">
          <w:rPr>
            <w:rStyle w:val="Hyperlink"/>
            <w:rFonts w:eastAsia="Calibri" w:cs="Calibri"/>
          </w:rPr>
          <w:t>UHRA</w:t>
        </w:r>
      </w:hyperlink>
      <w:r w:rsidRPr="00307753">
        <w:rPr>
          <w:rFonts w:eastAsia="Calibri" w:cs="Calibri"/>
        </w:rPr>
        <w:t xml:space="preserve"> for long term </w:t>
      </w:r>
      <w:r w:rsidR="000F456E" w:rsidRPr="00307753">
        <w:rPr>
          <w:rFonts w:eastAsia="Calibri" w:cs="Calibri"/>
        </w:rPr>
        <w:t>preservation</w:t>
      </w:r>
      <w:r w:rsidRPr="00307753">
        <w:rPr>
          <w:rFonts w:eastAsia="Calibri" w:cs="Calibri"/>
        </w:rPr>
        <w:t xml:space="preserve"> and dissemination. UHRA is optimized for </w:t>
      </w:r>
      <w:r w:rsidR="00C8745D" w:rsidRPr="00307753">
        <w:rPr>
          <w:rFonts w:eastAsia="Calibri" w:cs="Calibri"/>
        </w:rPr>
        <w:t>machine-to-machine</w:t>
      </w:r>
      <w:r w:rsidR="00D079A0" w:rsidRPr="00307753">
        <w:rPr>
          <w:rFonts w:eastAsia="Calibri" w:cs="Calibri"/>
        </w:rPr>
        <w:t xml:space="preserve"> </w:t>
      </w:r>
      <w:r w:rsidRPr="00307753">
        <w:t>interoperability and discoverability of open content.</w:t>
      </w:r>
      <w:r w:rsidR="007F564D" w:rsidRPr="00307753">
        <w:t xml:space="preserve"> </w:t>
      </w:r>
      <w:hyperlink w:anchor="__Appendix_B_" w:history="1">
        <w:r w:rsidR="007F564D" w:rsidRPr="00307753">
          <w:rPr>
            <w:rStyle w:val="Hyperlink"/>
          </w:rPr>
          <w:t>Appendix B: Research Systems</w:t>
        </w:r>
      </w:hyperlink>
    </w:p>
    <w:p w14:paraId="59C5033D" w14:textId="61B2488C" w:rsidR="0035315C" w:rsidRPr="00307753" w:rsidRDefault="001C46BA" w:rsidP="0035315C">
      <w:pPr>
        <w:pStyle w:val="Heading2"/>
        <w:rPr>
          <w:rFonts w:asciiTheme="minorHAnsi" w:hAnsiTheme="minorHAnsi"/>
        </w:rPr>
      </w:pPr>
      <w:bookmarkStart w:id="6" w:name="_Toc65071787"/>
      <w:r w:rsidRPr="00307753">
        <w:rPr>
          <w:rFonts w:asciiTheme="minorHAnsi" w:hAnsiTheme="minorHAnsi"/>
        </w:rPr>
        <w:t>2.4 Gold OA funding</w:t>
      </w:r>
      <w:bookmarkEnd w:id="6"/>
      <w:r w:rsidRPr="00307753">
        <w:rPr>
          <w:rFonts w:asciiTheme="minorHAnsi" w:hAnsiTheme="minorHAnsi"/>
        </w:rPr>
        <w:t xml:space="preserve"> </w:t>
      </w:r>
    </w:p>
    <w:p w14:paraId="46EBE53C" w14:textId="610C1537" w:rsidR="00A850BB" w:rsidRPr="00307753" w:rsidRDefault="00CD18CD" w:rsidP="00A850BB">
      <w:pPr>
        <w:rPr>
          <w:rFonts w:eastAsia="Calibri" w:cs="Calibri"/>
        </w:rPr>
      </w:pPr>
      <w:r w:rsidRPr="00574696">
        <w:rPr>
          <w:rFonts w:eastAsia="Calibri" w:cs="Calibri"/>
          <w:lang w:val="en-GB"/>
        </w:rPr>
        <w:t xml:space="preserve">UH manages two </w:t>
      </w:r>
      <w:r w:rsidR="009A4CD6" w:rsidRPr="00307753">
        <w:rPr>
          <w:rFonts w:eastAsia="Calibri" w:cs="Calibri"/>
          <w:lang w:val="en-GB"/>
        </w:rPr>
        <w:t>open access</w:t>
      </w:r>
      <w:r w:rsidRPr="00574696">
        <w:rPr>
          <w:rFonts w:eastAsia="Calibri" w:cs="Calibri"/>
          <w:lang w:val="en-GB"/>
        </w:rPr>
        <w:t xml:space="preserve"> funds</w:t>
      </w:r>
      <w:r w:rsidR="009A4CD6" w:rsidRPr="00307753">
        <w:rPr>
          <w:rFonts w:eastAsia="Calibri" w:cs="Calibri"/>
          <w:lang w:val="en-GB"/>
        </w:rPr>
        <w:t xml:space="preserve"> </w:t>
      </w:r>
      <w:r w:rsidR="00C2458F" w:rsidRPr="00307753">
        <w:rPr>
          <w:rFonts w:eastAsia="Calibri" w:cs="Calibri"/>
          <w:lang w:val="en-GB"/>
        </w:rPr>
        <w:t xml:space="preserve">to pay </w:t>
      </w:r>
      <w:r w:rsidR="00C2458F" w:rsidRPr="00307753">
        <w:rPr>
          <w:rFonts w:eastAsia="Calibri" w:cs="Calibri"/>
        </w:rPr>
        <w:t>Article Processing Charges (APCs) for Gold OA</w:t>
      </w:r>
      <w:r w:rsidR="00C2458F" w:rsidRPr="00307753">
        <w:rPr>
          <w:rFonts w:eastAsia="Calibri" w:cs="Calibri"/>
          <w:lang w:val="en-GB"/>
        </w:rPr>
        <w:t xml:space="preserve">. </w:t>
      </w:r>
      <w:r w:rsidRPr="00574696">
        <w:rPr>
          <w:rFonts w:eastAsia="Calibri" w:cs="Calibri"/>
          <w:lang w:val="en-GB"/>
        </w:rPr>
        <w:t xml:space="preserve"> </w:t>
      </w:r>
      <w:r w:rsidR="00C2458F" w:rsidRPr="00307753">
        <w:rPr>
          <w:rFonts w:eastAsia="Calibri" w:cs="Calibri"/>
          <w:lang w:val="en-GB"/>
        </w:rPr>
        <w:t>O</w:t>
      </w:r>
      <w:r w:rsidRPr="00574696">
        <w:rPr>
          <w:rFonts w:eastAsia="Calibri" w:cs="Calibri"/>
          <w:lang w:val="en-GB"/>
        </w:rPr>
        <w:t xml:space="preserve">ne </w:t>
      </w:r>
      <w:r w:rsidR="00C2458F" w:rsidRPr="00307753">
        <w:rPr>
          <w:rFonts w:eastAsia="Calibri" w:cs="Calibri"/>
          <w:lang w:val="en-GB"/>
        </w:rPr>
        <w:t xml:space="preserve">fund is </w:t>
      </w:r>
      <w:r w:rsidRPr="00574696">
        <w:rPr>
          <w:rFonts w:eastAsia="Calibri" w:cs="Calibri"/>
          <w:lang w:val="en-GB"/>
        </w:rPr>
        <w:t>for authors whose articles acknowledge a UH-held grant from one of the UKRI </w:t>
      </w:r>
      <w:r w:rsidR="00A850BB" w:rsidRPr="00307753">
        <w:rPr>
          <w:rFonts w:eastAsia="Calibri" w:cs="Calibri"/>
          <w:lang w:val="en-GB"/>
        </w:rPr>
        <w:t xml:space="preserve">funding </w:t>
      </w:r>
      <w:r w:rsidRPr="00574696">
        <w:rPr>
          <w:rFonts w:eastAsia="Calibri" w:cs="Calibri"/>
          <w:lang w:val="en-GB"/>
        </w:rPr>
        <w:t xml:space="preserve">bodies, and </w:t>
      </w:r>
      <w:r w:rsidR="00A850BB" w:rsidRPr="00307753">
        <w:rPr>
          <w:rFonts w:eastAsia="Calibri" w:cs="Calibri"/>
          <w:lang w:val="en-GB"/>
        </w:rPr>
        <w:t xml:space="preserve">the other, </w:t>
      </w:r>
      <w:r w:rsidR="00A850BB" w:rsidRPr="00307753">
        <w:rPr>
          <w:rFonts w:eastAsia="Calibri" w:cs="Calibri"/>
        </w:rPr>
        <w:t xml:space="preserve">the institutional </w:t>
      </w:r>
      <w:r w:rsidR="0000385B" w:rsidRPr="00307753">
        <w:rPr>
          <w:rFonts w:eastAsia="Calibri" w:cs="Calibri"/>
        </w:rPr>
        <w:t xml:space="preserve">fund, </w:t>
      </w:r>
      <w:r w:rsidR="0000385B" w:rsidRPr="00307753">
        <w:rPr>
          <w:rFonts w:eastAsia="Calibri" w:cs="Calibri"/>
          <w:lang w:val="en-GB"/>
        </w:rPr>
        <w:t>is</w:t>
      </w:r>
      <w:r w:rsidRPr="00574696">
        <w:rPr>
          <w:rFonts w:eastAsia="Calibri" w:cs="Calibri"/>
          <w:lang w:val="en-GB"/>
        </w:rPr>
        <w:t xml:space="preserve"> for authors whose works are unfunded or funded by a funder who does not provide </w:t>
      </w:r>
      <w:r w:rsidR="00A850BB" w:rsidRPr="00307753">
        <w:rPr>
          <w:rFonts w:eastAsia="Calibri" w:cs="Calibri"/>
          <w:lang w:val="en-GB"/>
        </w:rPr>
        <w:t>for open access</w:t>
      </w:r>
      <w:r w:rsidRPr="00574696">
        <w:rPr>
          <w:rFonts w:eastAsia="Calibri" w:cs="Calibri"/>
          <w:lang w:val="en-GB"/>
        </w:rPr>
        <w:t>.</w:t>
      </w:r>
      <w:r w:rsidRPr="00307753">
        <w:rPr>
          <w:rFonts w:eastAsia="Calibri" w:cs="Calibri"/>
          <w:lang w:val="en-GB"/>
        </w:rPr>
        <w:t xml:space="preserve"> </w:t>
      </w:r>
      <w:r w:rsidR="00A850BB" w:rsidRPr="00307753">
        <w:rPr>
          <w:rFonts w:eastAsia="Calibri" w:cs="Calibri"/>
          <w:lang w:val="en-GB"/>
        </w:rPr>
        <w:t xml:space="preserve">The funds and </w:t>
      </w:r>
      <w:r w:rsidR="00A850BB" w:rsidRPr="00307753">
        <w:rPr>
          <w:rFonts w:eastAsia="Calibri" w:cs="Calibri"/>
        </w:rPr>
        <w:t xml:space="preserve">APCs are administered by RSC, with oversight of the institutional fund by Associated Deans of Research (ADRs). </w:t>
      </w:r>
    </w:p>
    <w:p w14:paraId="7ABB0A83" w14:textId="6575BE42" w:rsidR="00510642" w:rsidRPr="00307753" w:rsidRDefault="00252EAF" w:rsidP="00292CCD">
      <w:r w:rsidRPr="00307753">
        <w:rPr>
          <w:rFonts w:eastAsia="Calibri" w:cs="Calibri"/>
        </w:rPr>
        <w:lastRenderedPageBreak/>
        <w:t xml:space="preserve">In addition, the </w:t>
      </w:r>
      <w:r w:rsidR="003610F3" w:rsidRPr="00307753">
        <w:rPr>
          <w:rFonts w:eastAsia="Calibri" w:cs="Calibri"/>
        </w:rPr>
        <w:t xml:space="preserve">University is investing in a number of JISC brokered Open Access </w:t>
      </w:r>
      <w:r w:rsidR="00E37307" w:rsidRPr="00307753">
        <w:rPr>
          <w:rFonts w:eastAsia="Calibri" w:cs="Calibri"/>
        </w:rPr>
        <w:t>publishing</w:t>
      </w:r>
      <w:r w:rsidR="003610F3" w:rsidRPr="00307753">
        <w:rPr>
          <w:rFonts w:eastAsia="Calibri" w:cs="Calibri"/>
        </w:rPr>
        <w:t xml:space="preserve"> agreements</w:t>
      </w:r>
      <w:r w:rsidR="00E37307" w:rsidRPr="00307753">
        <w:rPr>
          <w:rFonts w:eastAsia="Calibri" w:cs="Calibri"/>
        </w:rPr>
        <w:t xml:space="preserve"> with publishers such </w:t>
      </w:r>
      <w:r w:rsidR="003070F5" w:rsidRPr="00307753">
        <w:rPr>
          <w:rFonts w:eastAsia="Calibri" w:cs="Calibri"/>
        </w:rPr>
        <w:t xml:space="preserve">as </w:t>
      </w:r>
      <w:r w:rsidR="00E37307" w:rsidRPr="00307753">
        <w:rPr>
          <w:rFonts w:eastAsia="Calibri" w:cs="Calibri"/>
        </w:rPr>
        <w:t>Wiley, Sage, P</w:t>
      </w:r>
      <w:r w:rsidR="00EB619E" w:rsidRPr="00307753">
        <w:rPr>
          <w:rFonts w:eastAsia="Calibri" w:cs="Calibri"/>
        </w:rPr>
        <w:t>ublic Library of Science</w:t>
      </w:r>
      <w:r w:rsidR="005C4E75" w:rsidRPr="00307753">
        <w:rPr>
          <w:rFonts w:eastAsia="Calibri" w:cs="Calibri"/>
        </w:rPr>
        <w:t>, Institute of Physics</w:t>
      </w:r>
      <w:r w:rsidR="00116310" w:rsidRPr="00307753">
        <w:rPr>
          <w:rFonts w:eastAsia="Calibri" w:cs="Calibri"/>
        </w:rPr>
        <w:t xml:space="preserve">, BMJ, Oxford University Press, </w:t>
      </w:r>
      <w:r w:rsidR="00B24B87" w:rsidRPr="00307753">
        <w:rPr>
          <w:rFonts w:eastAsia="Calibri" w:cs="Calibri"/>
        </w:rPr>
        <w:t xml:space="preserve">and </w:t>
      </w:r>
      <w:r w:rsidR="00116310" w:rsidRPr="00307753">
        <w:rPr>
          <w:rFonts w:eastAsia="Calibri" w:cs="Calibri"/>
        </w:rPr>
        <w:t xml:space="preserve">Cambridge University Press. </w:t>
      </w:r>
      <w:r w:rsidR="004F445E" w:rsidRPr="00307753">
        <w:rPr>
          <w:rFonts w:eastAsia="Calibri" w:cs="Calibri"/>
        </w:rPr>
        <w:t xml:space="preserve"> Th</w:t>
      </w:r>
      <w:r w:rsidR="00311EBC" w:rsidRPr="00307753">
        <w:rPr>
          <w:rFonts w:eastAsia="Calibri" w:cs="Calibri"/>
        </w:rPr>
        <w:t>ese</w:t>
      </w:r>
      <w:r w:rsidR="004F445E" w:rsidRPr="00307753">
        <w:rPr>
          <w:rFonts w:eastAsia="Calibri" w:cs="Calibri"/>
        </w:rPr>
        <w:t xml:space="preserve"> </w:t>
      </w:r>
      <w:r w:rsidR="00116310" w:rsidRPr="00307753">
        <w:rPr>
          <w:rFonts w:eastAsia="Calibri" w:cs="Calibri"/>
        </w:rPr>
        <w:t>agre</w:t>
      </w:r>
      <w:r w:rsidR="00311EBC" w:rsidRPr="00307753">
        <w:rPr>
          <w:rFonts w:eastAsia="Calibri" w:cs="Calibri"/>
        </w:rPr>
        <w:t>e</w:t>
      </w:r>
      <w:r w:rsidR="00116310" w:rsidRPr="00307753">
        <w:rPr>
          <w:rFonts w:eastAsia="Calibri" w:cs="Calibri"/>
        </w:rPr>
        <w:t xml:space="preserve">ments </w:t>
      </w:r>
      <w:r w:rsidR="003070F5" w:rsidRPr="00307753">
        <w:rPr>
          <w:rFonts w:eastAsia="Calibri" w:cs="Calibri"/>
        </w:rPr>
        <w:t xml:space="preserve">include </w:t>
      </w:r>
      <w:r w:rsidR="00311EBC" w:rsidRPr="00307753">
        <w:rPr>
          <w:rFonts w:eastAsia="Calibri" w:cs="Calibri"/>
        </w:rPr>
        <w:t>some 2</w:t>
      </w:r>
      <w:r w:rsidR="00257483" w:rsidRPr="00307753">
        <w:rPr>
          <w:rFonts w:eastAsia="Calibri" w:cs="Calibri"/>
        </w:rPr>
        <w:t>7</w:t>
      </w:r>
      <w:r w:rsidR="00311EBC" w:rsidRPr="00307753">
        <w:rPr>
          <w:rFonts w:eastAsia="Calibri" w:cs="Calibri"/>
        </w:rPr>
        <w:t xml:space="preserve">00 titles. </w:t>
      </w:r>
    </w:p>
    <w:p w14:paraId="549497E7" w14:textId="17F7CDC9" w:rsidR="00292CCD" w:rsidRPr="00307753" w:rsidRDefault="0006699F" w:rsidP="00292CCD">
      <w:hyperlink r:id="rId17" w:history="1">
        <w:r w:rsidR="0028588B" w:rsidRPr="00307753">
          <w:rPr>
            <w:rStyle w:val="Hyperlink"/>
          </w:rPr>
          <w:t xml:space="preserve">Appendix </w:t>
        </w:r>
        <w:r w:rsidR="005C5D67" w:rsidRPr="00307753">
          <w:rPr>
            <w:rStyle w:val="Hyperlink"/>
          </w:rPr>
          <w:t>C (online)</w:t>
        </w:r>
        <w:r w:rsidR="0028588B" w:rsidRPr="00307753">
          <w:rPr>
            <w:rStyle w:val="Hyperlink"/>
          </w:rPr>
          <w:t>: Open Access Funding</w:t>
        </w:r>
      </w:hyperlink>
    </w:p>
    <w:p w14:paraId="2E33146D" w14:textId="5E81C0DA" w:rsidR="00165AFD" w:rsidRPr="00307753" w:rsidRDefault="00B950DE" w:rsidP="00E2308B">
      <w:pPr>
        <w:pStyle w:val="Heading1"/>
        <w:rPr>
          <w:rFonts w:asciiTheme="minorHAnsi" w:hAnsiTheme="minorHAnsi"/>
        </w:rPr>
      </w:pPr>
      <w:bookmarkStart w:id="7" w:name="_Toc65071788"/>
      <w:r w:rsidRPr="00307753">
        <w:rPr>
          <w:rFonts w:asciiTheme="minorHAnsi" w:hAnsiTheme="minorHAnsi"/>
        </w:rPr>
        <w:t>3</w:t>
      </w:r>
      <w:r w:rsidRPr="00307753">
        <w:rPr>
          <w:rFonts w:asciiTheme="minorHAnsi" w:hAnsiTheme="minorHAnsi"/>
        </w:rPr>
        <w:tab/>
      </w:r>
      <w:r w:rsidR="00253055" w:rsidRPr="00307753">
        <w:rPr>
          <w:rFonts w:asciiTheme="minorHAnsi" w:hAnsiTheme="minorHAnsi"/>
        </w:rPr>
        <w:t xml:space="preserve">Curation </w:t>
      </w:r>
      <w:r w:rsidR="006A5975" w:rsidRPr="00307753">
        <w:rPr>
          <w:rFonts w:asciiTheme="minorHAnsi" w:hAnsiTheme="minorHAnsi"/>
        </w:rPr>
        <w:t>Process</w:t>
      </w:r>
      <w:bookmarkEnd w:id="7"/>
      <w:r w:rsidR="00253055" w:rsidRPr="00307753">
        <w:rPr>
          <w:rFonts w:asciiTheme="minorHAnsi" w:hAnsiTheme="minorHAnsi"/>
        </w:rPr>
        <w:t xml:space="preserve"> </w:t>
      </w:r>
    </w:p>
    <w:p w14:paraId="4AA54F58" w14:textId="0ABCFC7C" w:rsidR="00E2308B" w:rsidRPr="00307753" w:rsidRDefault="00E2308B" w:rsidP="00E2308B">
      <w:pPr>
        <w:pStyle w:val="Heading2"/>
        <w:rPr>
          <w:rFonts w:asciiTheme="minorHAnsi" w:eastAsia="Calibri" w:hAnsiTheme="minorHAnsi"/>
        </w:rPr>
      </w:pPr>
      <w:bookmarkStart w:id="8" w:name="_Toc65071789"/>
      <w:proofErr w:type="gramStart"/>
      <w:r w:rsidRPr="00307753">
        <w:rPr>
          <w:rFonts w:asciiTheme="minorHAnsi" w:eastAsia="Calibri" w:hAnsiTheme="minorHAnsi"/>
        </w:rPr>
        <w:t xml:space="preserve">3.1 </w:t>
      </w:r>
      <w:r w:rsidR="00A23D33" w:rsidRPr="00307753">
        <w:rPr>
          <w:rFonts w:asciiTheme="minorHAnsi" w:eastAsia="Calibri" w:hAnsiTheme="minorHAnsi"/>
        </w:rPr>
        <w:t xml:space="preserve"> </w:t>
      </w:r>
      <w:r w:rsidR="00FF6717" w:rsidRPr="00307753">
        <w:rPr>
          <w:rFonts w:asciiTheme="minorHAnsi" w:eastAsia="Calibri" w:hAnsiTheme="minorHAnsi"/>
        </w:rPr>
        <w:t>Aims</w:t>
      </w:r>
      <w:proofErr w:type="gramEnd"/>
      <w:r w:rsidR="00FF6717" w:rsidRPr="00307753">
        <w:rPr>
          <w:rFonts w:asciiTheme="minorHAnsi" w:eastAsia="Calibri" w:hAnsiTheme="minorHAnsi"/>
        </w:rPr>
        <w:t xml:space="preserve"> and objectives</w:t>
      </w:r>
      <w:bookmarkEnd w:id="8"/>
      <w:r w:rsidR="00FF6717" w:rsidRPr="00307753">
        <w:rPr>
          <w:rFonts w:asciiTheme="minorHAnsi" w:eastAsia="Calibri" w:hAnsiTheme="minorHAnsi"/>
        </w:rPr>
        <w:t xml:space="preserve"> </w:t>
      </w:r>
    </w:p>
    <w:p w14:paraId="76969831" w14:textId="7E454639" w:rsidR="00DD5A1F" w:rsidRPr="00307753" w:rsidRDefault="00AD57EA" w:rsidP="00DD5A1F">
      <w:pPr>
        <w:rPr>
          <w:lang w:val="en-GB"/>
        </w:rPr>
      </w:pPr>
      <w:r w:rsidRPr="00307753">
        <w:rPr>
          <w:rFonts w:eastAsia="Calibri" w:cs="Calibri"/>
        </w:rPr>
        <w:t>The</w:t>
      </w:r>
      <w:r w:rsidR="001618A1" w:rsidRPr="00307753">
        <w:rPr>
          <w:lang w:val="en-GB"/>
        </w:rPr>
        <w:t xml:space="preserve"> aim of research output curation is to optimize the impact of our researchers’ work by:</w:t>
      </w:r>
    </w:p>
    <w:p w14:paraId="27D3DE7C" w14:textId="0F5B2987" w:rsidR="001618A1" w:rsidRPr="00307753" w:rsidRDefault="001618A1" w:rsidP="00DD5A1F">
      <w:pPr>
        <w:pStyle w:val="ListParagraph"/>
        <w:numPr>
          <w:ilvl w:val="0"/>
          <w:numId w:val="7"/>
        </w:numPr>
        <w:rPr>
          <w:lang w:val="en-GB"/>
        </w:rPr>
      </w:pPr>
      <w:r w:rsidRPr="00307753">
        <w:rPr>
          <w:lang w:val="en-GB"/>
        </w:rPr>
        <w:t>providing a consistent, high quality record of our research outputs;</w:t>
      </w:r>
    </w:p>
    <w:p w14:paraId="7124A608" w14:textId="7BB0165B" w:rsidR="001618A1" w:rsidRPr="00307753" w:rsidRDefault="001618A1" w:rsidP="00F64112">
      <w:pPr>
        <w:numPr>
          <w:ilvl w:val="0"/>
          <w:numId w:val="6"/>
        </w:numPr>
        <w:rPr>
          <w:lang w:val="en-GB"/>
        </w:rPr>
      </w:pPr>
      <w:r w:rsidRPr="00307753">
        <w:rPr>
          <w:lang w:val="en-GB"/>
        </w:rPr>
        <w:t xml:space="preserve">enhancing the visibility </w:t>
      </w:r>
      <w:r w:rsidR="00790CC0" w:rsidRPr="00307753">
        <w:rPr>
          <w:lang w:val="en-GB"/>
        </w:rPr>
        <w:t xml:space="preserve">of, </w:t>
      </w:r>
      <w:r w:rsidR="00EB6AEB" w:rsidRPr="00307753">
        <w:rPr>
          <w:lang w:val="en-GB"/>
        </w:rPr>
        <w:t>and f</w:t>
      </w:r>
      <w:r w:rsidRPr="00307753">
        <w:rPr>
          <w:lang w:val="en-GB"/>
        </w:rPr>
        <w:t>acilitating open access to</w:t>
      </w:r>
      <w:r w:rsidR="00790CC0" w:rsidRPr="00307753">
        <w:rPr>
          <w:lang w:val="en-GB"/>
        </w:rPr>
        <w:t>,</w:t>
      </w:r>
      <w:r w:rsidRPr="00307753">
        <w:rPr>
          <w:lang w:val="en-GB"/>
        </w:rPr>
        <w:t xml:space="preserve"> our work;</w:t>
      </w:r>
    </w:p>
    <w:p w14:paraId="26027C2A" w14:textId="1C8DE736" w:rsidR="001618A1" w:rsidRPr="00307753" w:rsidRDefault="001618A1" w:rsidP="001618A1">
      <w:pPr>
        <w:numPr>
          <w:ilvl w:val="0"/>
          <w:numId w:val="6"/>
        </w:numPr>
        <w:rPr>
          <w:lang w:val="en-GB"/>
        </w:rPr>
      </w:pPr>
      <w:r w:rsidRPr="00307753">
        <w:rPr>
          <w:lang w:val="en-GB"/>
        </w:rPr>
        <w:t>satisfying funder mandates for open access, attribution and acknowledgement (REF2021, UKRI, ERC, NIHR etc).</w:t>
      </w:r>
      <w:r w:rsidR="0047429B" w:rsidRPr="0047429B">
        <w:rPr>
          <w:noProof/>
        </w:rPr>
        <w:t xml:space="preserve"> </w:t>
      </w:r>
    </w:p>
    <w:p w14:paraId="1EBB94CB" w14:textId="068601CC" w:rsidR="00395016" w:rsidRPr="00307753" w:rsidRDefault="00395016" w:rsidP="00395016">
      <w:pPr>
        <w:pStyle w:val="Heading2"/>
        <w:rPr>
          <w:rFonts w:asciiTheme="minorHAnsi" w:eastAsia="Calibri" w:hAnsiTheme="minorHAnsi"/>
        </w:rPr>
      </w:pPr>
      <w:bookmarkStart w:id="9" w:name="_Toc65071790"/>
      <w:proofErr w:type="gramStart"/>
      <w:r w:rsidRPr="00307753">
        <w:rPr>
          <w:rFonts w:asciiTheme="minorHAnsi" w:eastAsia="Calibri" w:hAnsiTheme="minorHAnsi"/>
        </w:rPr>
        <w:t>3.</w:t>
      </w:r>
      <w:r w:rsidR="00FF6717" w:rsidRPr="00307753">
        <w:rPr>
          <w:rFonts w:asciiTheme="minorHAnsi" w:eastAsia="Calibri" w:hAnsiTheme="minorHAnsi"/>
        </w:rPr>
        <w:t>2</w:t>
      </w:r>
      <w:r w:rsidRPr="00307753">
        <w:rPr>
          <w:rFonts w:asciiTheme="minorHAnsi" w:eastAsia="Calibri" w:hAnsiTheme="minorHAnsi"/>
        </w:rPr>
        <w:t xml:space="preserve">  Curation</w:t>
      </w:r>
      <w:proofErr w:type="gramEnd"/>
      <w:r w:rsidRPr="00307753">
        <w:rPr>
          <w:rFonts w:asciiTheme="minorHAnsi" w:eastAsia="Calibri" w:hAnsiTheme="minorHAnsi"/>
        </w:rPr>
        <w:t xml:space="preserve"> Overview</w:t>
      </w:r>
      <w:bookmarkEnd w:id="9"/>
    </w:p>
    <w:p w14:paraId="37B76D1A" w14:textId="700DF1FF" w:rsidR="0047429B" w:rsidRDefault="009366F3" w:rsidP="00FF6717">
      <w:pPr>
        <w:rPr>
          <w:rFonts w:eastAsia="Calibri" w:cs="Calibri"/>
        </w:rPr>
      </w:pPr>
      <w:r w:rsidRPr="00307753">
        <w:rPr>
          <w:rFonts w:eastAsia="Calibri" w:cs="Calibri"/>
        </w:rPr>
        <w:t xml:space="preserve">The policy in Section 1 expects </w:t>
      </w:r>
      <w:r w:rsidR="00FF6717" w:rsidRPr="00307753">
        <w:rPr>
          <w:rFonts w:eastAsia="Calibri" w:cs="Calibri"/>
        </w:rPr>
        <w:t xml:space="preserve">Researchers to use RIS to create a record of all their research outputs, including the deposit of full text manuscripts.  </w:t>
      </w:r>
    </w:p>
    <w:p w14:paraId="515352C8" w14:textId="491EF0A5" w:rsidR="00A81BE4" w:rsidRPr="00307753" w:rsidRDefault="003F662B" w:rsidP="000C1A63">
      <w:pPr>
        <w:rPr>
          <w:rFonts w:eastAsia="Calibri" w:cs="Calibri"/>
        </w:rPr>
      </w:pPr>
      <w:r w:rsidRPr="00307753">
        <w:rPr>
          <w:rFonts w:eastAsia="Calibri" w:cs="Calibri"/>
        </w:rPr>
        <w:t xml:space="preserve">RSC </w:t>
      </w:r>
      <w:r w:rsidR="00F55D8C" w:rsidRPr="00307753">
        <w:rPr>
          <w:rFonts w:eastAsia="Calibri" w:cs="Calibri"/>
        </w:rPr>
        <w:t xml:space="preserve">monitor </w:t>
      </w:r>
      <w:r w:rsidR="00D51E7F" w:rsidRPr="00307753">
        <w:rPr>
          <w:rFonts w:eastAsia="Calibri" w:cs="Calibri"/>
        </w:rPr>
        <w:t xml:space="preserve">the </w:t>
      </w:r>
      <w:r w:rsidR="00F55D8C" w:rsidRPr="00307753">
        <w:rPr>
          <w:rFonts w:eastAsia="Calibri" w:cs="Calibri"/>
        </w:rPr>
        <w:t xml:space="preserve">input queue </w:t>
      </w:r>
      <w:r w:rsidRPr="00307753">
        <w:rPr>
          <w:rFonts w:eastAsia="Calibri" w:cs="Calibri"/>
        </w:rPr>
        <w:t xml:space="preserve">and </w:t>
      </w:r>
      <w:r w:rsidR="00686B96" w:rsidRPr="00307753">
        <w:rPr>
          <w:rFonts w:eastAsia="Calibri" w:cs="Calibri"/>
        </w:rPr>
        <w:t>work</w:t>
      </w:r>
      <w:r w:rsidR="00984739" w:rsidRPr="00307753">
        <w:rPr>
          <w:rFonts w:eastAsia="Calibri" w:cs="Calibri"/>
        </w:rPr>
        <w:t xml:space="preserve"> with authors </w:t>
      </w:r>
      <w:r w:rsidR="00686B96" w:rsidRPr="00307753">
        <w:rPr>
          <w:rFonts w:eastAsia="Calibri" w:cs="Calibri"/>
        </w:rPr>
        <w:t>to produce</w:t>
      </w:r>
      <w:r w:rsidR="00984739" w:rsidRPr="00307753">
        <w:rPr>
          <w:rFonts w:eastAsia="Calibri" w:cs="Calibri"/>
        </w:rPr>
        <w:t xml:space="preserve"> bibliographically complete and </w:t>
      </w:r>
      <w:r w:rsidR="00A74715" w:rsidRPr="00307753">
        <w:rPr>
          <w:rFonts w:eastAsia="Calibri" w:cs="Calibri"/>
        </w:rPr>
        <w:t>open</w:t>
      </w:r>
      <w:r w:rsidR="009E74FF" w:rsidRPr="00307753">
        <w:rPr>
          <w:rFonts w:eastAsia="Calibri" w:cs="Calibri"/>
        </w:rPr>
        <w:t xml:space="preserve"> </w:t>
      </w:r>
      <w:r w:rsidR="00B846A9" w:rsidRPr="00307753">
        <w:rPr>
          <w:rFonts w:eastAsia="Calibri" w:cs="Calibri"/>
        </w:rPr>
        <w:t>record</w:t>
      </w:r>
      <w:r w:rsidR="000D799B" w:rsidRPr="00307753">
        <w:rPr>
          <w:rFonts w:eastAsia="Calibri" w:cs="Calibri"/>
        </w:rPr>
        <w:t>s</w:t>
      </w:r>
      <w:r w:rsidR="00B846A9" w:rsidRPr="00307753">
        <w:rPr>
          <w:rFonts w:eastAsia="Calibri" w:cs="Calibri"/>
        </w:rPr>
        <w:t>.</w:t>
      </w:r>
      <w:r w:rsidR="00223C91" w:rsidRPr="00307753">
        <w:rPr>
          <w:rFonts w:eastAsia="Calibri" w:cs="Calibri"/>
        </w:rPr>
        <w:t xml:space="preserve"> </w:t>
      </w:r>
      <w:r w:rsidR="008131D5" w:rsidRPr="00307753">
        <w:rPr>
          <w:rFonts w:eastAsia="Calibri" w:cs="Calibri"/>
        </w:rPr>
        <w:t>R</w:t>
      </w:r>
      <w:r w:rsidR="00A81BE4" w:rsidRPr="00307753">
        <w:rPr>
          <w:rFonts w:eastAsia="Calibri" w:cs="Calibri"/>
        </w:rPr>
        <w:t>epository</w:t>
      </w:r>
      <w:r w:rsidR="008131D5" w:rsidRPr="00307753">
        <w:rPr>
          <w:rFonts w:eastAsia="Calibri" w:cs="Calibri"/>
        </w:rPr>
        <w:t xml:space="preserve"> criteria</w:t>
      </w:r>
      <w:r w:rsidR="00A81BE4" w:rsidRPr="00307753">
        <w:rPr>
          <w:rFonts w:eastAsia="Calibri" w:cs="Calibri"/>
        </w:rPr>
        <w:t xml:space="preserve"> include the deposit of a</w:t>
      </w:r>
      <w:r w:rsidR="00F11544" w:rsidRPr="00307753">
        <w:rPr>
          <w:rFonts w:eastAsia="Calibri" w:cs="Calibri"/>
        </w:rPr>
        <w:t xml:space="preserve">n appropriate </w:t>
      </w:r>
      <w:r w:rsidR="00A81BE4" w:rsidRPr="00307753">
        <w:rPr>
          <w:rFonts w:eastAsia="Calibri" w:cs="Calibri"/>
        </w:rPr>
        <w:t>manuscript</w:t>
      </w:r>
      <w:r w:rsidR="00F919EE" w:rsidRPr="00307753">
        <w:rPr>
          <w:rFonts w:eastAsia="Calibri" w:cs="Calibri"/>
        </w:rPr>
        <w:t xml:space="preserve">. </w:t>
      </w:r>
      <w:r w:rsidR="00B846A9" w:rsidRPr="00307753">
        <w:rPr>
          <w:rFonts w:eastAsia="Calibri" w:cs="Calibri"/>
        </w:rPr>
        <w:t>If</w:t>
      </w:r>
      <w:r w:rsidR="00025563" w:rsidRPr="00307753">
        <w:rPr>
          <w:rFonts w:eastAsia="Calibri" w:cs="Calibri"/>
        </w:rPr>
        <w:t xml:space="preserve">, </w:t>
      </w:r>
      <w:r w:rsidR="00F11544" w:rsidRPr="00307753">
        <w:rPr>
          <w:rFonts w:eastAsia="Calibri" w:cs="Calibri"/>
        </w:rPr>
        <w:t>after</w:t>
      </w:r>
      <w:r w:rsidR="00025563" w:rsidRPr="00307753">
        <w:rPr>
          <w:rFonts w:eastAsia="Calibri" w:cs="Calibri"/>
        </w:rPr>
        <w:t xml:space="preserve"> best effort,</w:t>
      </w:r>
      <w:r w:rsidR="003A2DC8" w:rsidRPr="00307753">
        <w:rPr>
          <w:rFonts w:eastAsia="Calibri" w:cs="Calibri"/>
        </w:rPr>
        <w:t xml:space="preserve"> </w:t>
      </w:r>
      <w:r w:rsidR="000D799B" w:rsidRPr="00307753">
        <w:rPr>
          <w:rFonts w:eastAsia="Calibri" w:cs="Calibri"/>
        </w:rPr>
        <w:t>a</w:t>
      </w:r>
      <w:r w:rsidR="00B846A9" w:rsidRPr="00307753">
        <w:rPr>
          <w:rFonts w:eastAsia="Calibri" w:cs="Calibri"/>
        </w:rPr>
        <w:t xml:space="preserve"> record meets the criteria</w:t>
      </w:r>
      <w:r w:rsidR="00877741" w:rsidRPr="00307753">
        <w:rPr>
          <w:rFonts w:eastAsia="Calibri" w:cs="Calibri"/>
        </w:rPr>
        <w:t>,</w:t>
      </w:r>
      <w:r w:rsidR="007A1DD4" w:rsidRPr="00307753">
        <w:rPr>
          <w:rFonts w:eastAsia="Calibri" w:cs="Calibri"/>
        </w:rPr>
        <w:t xml:space="preserve"> </w:t>
      </w:r>
      <w:r w:rsidR="002315B9" w:rsidRPr="00307753">
        <w:rPr>
          <w:rFonts w:eastAsia="Calibri" w:cs="Calibri"/>
        </w:rPr>
        <w:t xml:space="preserve">then </w:t>
      </w:r>
      <w:r w:rsidR="003A2DC8" w:rsidRPr="00307753">
        <w:rPr>
          <w:rFonts w:eastAsia="Calibri" w:cs="Calibri"/>
        </w:rPr>
        <w:t xml:space="preserve">it </w:t>
      </w:r>
      <w:r w:rsidR="00A52032" w:rsidRPr="00307753">
        <w:rPr>
          <w:rFonts w:eastAsia="Calibri" w:cs="Calibri"/>
        </w:rPr>
        <w:t xml:space="preserve">is copied to </w:t>
      </w:r>
      <w:hyperlink r:id="rId18" w:history="1">
        <w:r w:rsidR="00A52032" w:rsidRPr="00307753">
          <w:rPr>
            <w:rStyle w:val="Hyperlink"/>
            <w:rFonts w:eastAsia="Calibri" w:cs="Calibri"/>
          </w:rPr>
          <w:t>UHRA</w:t>
        </w:r>
      </w:hyperlink>
      <w:r w:rsidR="00BE2897" w:rsidRPr="00307753">
        <w:rPr>
          <w:rFonts w:eastAsia="Calibri" w:cs="Calibri"/>
        </w:rPr>
        <w:t>;</w:t>
      </w:r>
      <w:r w:rsidR="00852798" w:rsidRPr="00307753">
        <w:rPr>
          <w:rFonts w:eastAsia="Calibri" w:cs="Calibri"/>
        </w:rPr>
        <w:t xml:space="preserve"> otherwise</w:t>
      </w:r>
      <w:r w:rsidR="00D23FF7" w:rsidRPr="00307753">
        <w:rPr>
          <w:rFonts w:eastAsia="Calibri" w:cs="Calibri"/>
        </w:rPr>
        <w:t>,</w:t>
      </w:r>
      <w:r w:rsidR="00852798" w:rsidRPr="00307753">
        <w:rPr>
          <w:rFonts w:eastAsia="Calibri" w:cs="Calibri"/>
        </w:rPr>
        <w:t xml:space="preserve"> it remain</w:t>
      </w:r>
      <w:r w:rsidR="001C0A6B" w:rsidRPr="00307753">
        <w:rPr>
          <w:rFonts w:eastAsia="Calibri" w:cs="Calibri"/>
        </w:rPr>
        <w:t xml:space="preserve">s </w:t>
      </w:r>
      <w:r w:rsidR="00BD1EDE" w:rsidRPr="00307753">
        <w:rPr>
          <w:rFonts w:eastAsia="Calibri" w:cs="Calibri"/>
        </w:rPr>
        <w:t>solely</w:t>
      </w:r>
      <w:r w:rsidR="0089056A" w:rsidRPr="00307753">
        <w:rPr>
          <w:rFonts w:eastAsia="Calibri" w:cs="Calibri"/>
        </w:rPr>
        <w:t xml:space="preserve"> on</w:t>
      </w:r>
      <w:r w:rsidR="002C401D" w:rsidRPr="00307753">
        <w:rPr>
          <w:rFonts w:eastAsia="Calibri" w:cs="Calibri"/>
        </w:rPr>
        <w:t xml:space="preserve"> </w:t>
      </w:r>
      <w:hyperlink r:id="rId19" w:history="1">
        <w:r w:rsidR="002C401D" w:rsidRPr="00307753">
          <w:rPr>
            <w:rStyle w:val="Hyperlink"/>
            <w:rFonts w:eastAsia="Calibri" w:cs="Calibri"/>
          </w:rPr>
          <w:t>RIS portal</w:t>
        </w:r>
      </w:hyperlink>
      <w:r w:rsidR="00A81BE4" w:rsidRPr="00307753">
        <w:rPr>
          <w:rFonts w:eastAsia="Calibri" w:cs="Calibri"/>
        </w:rPr>
        <w:t xml:space="preserve">. </w:t>
      </w:r>
      <w:r w:rsidR="009D5F5D" w:rsidRPr="00307753">
        <w:rPr>
          <w:rFonts w:eastAsia="Calibri" w:cs="Calibri"/>
        </w:rPr>
        <w:t xml:space="preserve">We </w:t>
      </w:r>
      <w:r w:rsidR="00020B7C" w:rsidRPr="00307753">
        <w:rPr>
          <w:rFonts w:eastAsia="Calibri" w:cs="Calibri"/>
        </w:rPr>
        <w:t xml:space="preserve">recognize it is not </w:t>
      </w:r>
      <w:r w:rsidR="00195378" w:rsidRPr="00307753">
        <w:rPr>
          <w:rFonts w:eastAsia="Calibri" w:cs="Calibri"/>
        </w:rPr>
        <w:t xml:space="preserve">always </w:t>
      </w:r>
      <w:r w:rsidR="00020B7C" w:rsidRPr="00307753">
        <w:rPr>
          <w:rFonts w:eastAsia="Calibri" w:cs="Calibri"/>
        </w:rPr>
        <w:t xml:space="preserve">possible to </w:t>
      </w:r>
      <w:r w:rsidR="00195378" w:rsidRPr="00307753">
        <w:rPr>
          <w:rFonts w:eastAsia="Calibri" w:cs="Calibri"/>
        </w:rPr>
        <w:t xml:space="preserve">achieve a </w:t>
      </w:r>
      <w:r w:rsidR="00F919EE" w:rsidRPr="00307753">
        <w:rPr>
          <w:rFonts w:eastAsia="Calibri" w:cs="Calibri"/>
        </w:rPr>
        <w:t xml:space="preserve">complete, </w:t>
      </w:r>
      <w:r w:rsidR="00195378" w:rsidRPr="00307753">
        <w:rPr>
          <w:rFonts w:eastAsia="Calibri" w:cs="Calibri"/>
        </w:rPr>
        <w:t>open record</w:t>
      </w:r>
      <w:r w:rsidR="00302727" w:rsidRPr="00307753">
        <w:rPr>
          <w:rFonts w:eastAsia="Calibri" w:cs="Calibri"/>
        </w:rPr>
        <w:t>;</w:t>
      </w:r>
      <w:r w:rsidR="00F919EE" w:rsidRPr="00307753">
        <w:rPr>
          <w:rFonts w:eastAsia="Calibri" w:cs="Calibri"/>
        </w:rPr>
        <w:t xml:space="preserve"> and </w:t>
      </w:r>
      <w:r w:rsidR="00302727" w:rsidRPr="00307753">
        <w:rPr>
          <w:rFonts w:eastAsia="Calibri" w:cs="Calibri"/>
        </w:rPr>
        <w:t xml:space="preserve">we </w:t>
      </w:r>
      <w:r w:rsidR="00F919EE" w:rsidRPr="00307753">
        <w:rPr>
          <w:rFonts w:eastAsia="Calibri" w:cs="Calibri"/>
        </w:rPr>
        <w:t>respect author’s decisions about what to include on their portal profiles</w:t>
      </w:r>
      <w:r w:rsidR="00383361" w:rsidRPr="00307753">
        <w:rPr>
          <w:rFonts w:eastAsia="Calibri" w:cs="Calibri"/>
        </w:rPr>
        <w:t>.</w:t>
      </w:r>
      <w:r w:rsidR="000856ED" w:rsidRPr="00307753">
        <w:rPr>
          <w:rFonts w:eastAsia="Calibri" w:cs="Calibri"/>
        </w:rPr>
        <w:t xml:space="preserve"> </w:t>
      </w:r>
      <w:r w:rsidR="00F919EE" w:rsidRPr="00307753">
        <w:rPr>
          <w:rFonts w:eastAsia="Calibri" w:cs="Calibri"/>
        </w:rPr>
        <w:t xml:space="preserve"> </w:t>
      </w:r>
    </w:p>
    <w:p w14:paraId="41B0B201" w14:textId="16583CAA" w:rsidR="00395016" w:rsidRPr="00307753" w:rsidRDefault="00395016" w:rsidP="00395016">
      <w:pPr>
        <w:pStyle w:val="ListParagraph"/>
        <w:numPr>
          <w:ilvl w:val="0"/>
          <w:numId w:val="7"/>
        </w:numPr>
        <w:spacing w:before="120" w:after="120"/>
        <w:rPr>
          <w:rFonts w:eastAsia="Calibri" w:cs="Calibri"/>
        </w:rPr>
      </w:pPr>
      <w:r w:rsidRPr="00307753">
        <w:rPr>
          <w:rFonts w:eastAsia="Calibri" w:cs="Calibri"/>
        </w:rPr>
        <w:t xml:space="preserve">There are as many as 30 </w:t>
      </w:r>
      <w:r w:rsidR="00C022C1" w:rsidRPr="00307753">
        <w:rPr>
          <w:rFonts w:eastAsia="Calibri" w:cs="Calibri"/>
        </w:rPr>
        <w:t>bibliographic</w:t>
      </w:r>
      <w:r w:rsidRPr="00307753">
        <w:rPr>
          <w:rFonts w:eastAsia="Calibri" w:cs="Calibri"/>
        </w:rPr>
        <w:t xml:space="preserve"> data associated with a basic single author research article. This extent may be doubled or trebled for more complex outputs, and by the requirements of compliance. </w:t>
      </w:r>
      <w:r w:rsidR="00C23DD9" w:rsidRPr="00307753">
        <w:rPr>
          <w:rFonts w:eastAsia="Calibri" w:cs="Calibri"/>
        </w:rPr>
        <w:t>Cu</w:t>
      </w:r>
      <w:r w:rsidR="001C2EF5" w:rsidRPr="00307753">
        <w:rPr>
          <w:rFonts w:eastAsia="Calibri" w:cs="Calibri"/>
        </w:rPr>
        <w:t xml:space="preserve">ration involves checking the fidelity of all this data. </w:t>
      </w:r>
    </w:p>
    <w:p w14:paraId="32A9996B" w14:textId="2C124BAE" w:rsidR="00395016" w:rsidRPr="00307753" w:rsidRDefault="00395016" w:rsidP="00395016">
      <w:pPr>
        <w:pStyle w:val="ListParagraph"/>
        <w:numPr>
          <w:ilvl w:val="0"/>
          <w:numId w:val="7"/>
        </w:numPr>
        <w:spacing w:before="120" w:after="120"/>
        <w:rPr>
          <w:rFonts w:eastAsia="Calibri" w:cs="Calibri"/>
        </w:rPr>
      </w:pPr>
      <w:r w:rsidRPr="00307753">
        <w:rPr>
          <w:rFonts w:eastAsia="Calibri" w:cs="Calibri"/>
        </w:rPr>
        <w:t xml:space="preserve">The availability of public domain metadata from publishers </w:t>
      </w:r>
      <w:r w:rsidR="00F318D5" w:rsidRPr="00307753">
        <w:rPr>
          <w:rFonts w:eastAsia="Calibri" w:cs="Calibri"/>
        </w:rPr>
        <w:t xml:space="preserve">is </w:t>
      </w:r>
      <w:r w:rsidRPr="00307753">
        <w:rPr>
          <w:rFonts w:eastAsia="Calibri" w:cs="Calibri"/>
        </w:rPr>
        <w:t>inconsistent</w:t>
      </w:r>
      <w:r w:rsidR="00367163" w:rsidRPr="00307753">
        <w:rPr>
          <w:rFonts w:eastAsia="Calibri" w:cs="Calibri"/>
        </w:rPr>
        <w:t xml:space="preserve"> and often poor</w:t>
      </w:r>
      <w:r w:rsidRPr="00307753">
        <w:rPr>
          <w:rFonts w:eastAsia="Calibri" w:cs="Calibri"/>
        </w:rPr>
        <w:t xml:space="preserve">. Authors are sometimes not aware of this – moreover, that they possess data that RSC cannot obtain </w:t>
      </w:r>
      <w:proofErr w:type="gramStart"/>
      <w:r w:rsidRPr="00307753">
        <w:rPr>
          <w:rFonts w:eastAsia="Calibri" w:cs="Calibri"/>
        </w:rPr>
        <w:t>independently</w:t>
      </w:r>
      <w:r w:rsidR="003C54D9">
        <w:rPr>
          <w:rFonts w:eastAsia="Calibri" w:cs="Calibri"/>
        </w:rPr>
        <w:t xml:space="preserve">, </w:t>
      </w:r>
      <w:r w:rsidR="00FA6087">
        <w:rPr>
          <w:rFonts w:eastAsia="Calibri" w:cs="Calibri"/>
        </w:rPr>
        <w:t xml:space="preserve"> </w:t>
      </w:r>
      <w:r w:rsidR="00A46123" w:rsidRPr="00307753">
        <w:rPr>
          <w:rFonts w:eastAsia="Calibri" w:cs="Calibri"/>
        </w:rPr>
        <w:t>and</w:t>
      </w:r>
      <w:proofErr w:type="gramEnd"/>
      <w:r w:rsidR="00A46123" w:rsidRPr="00307753">
        <w:rPr>
          <w:rFonts w:eastAsia="Calibri" w:cs="Calibri"/>
        </w:rPr>
        <w:t xml:space="preserve"> </w:t>
      </w:r>
      <w:r w:rsidR="003C54D9">
        <w:rPr>
          <w:rFonts w:eastAsia="Calibri" w:cs="Calibri"/>
        </w:rPr>
        <w:t xml:space="preserve">they </w:t>
      </w:r>
      <w:r w:rsidR="00A46123" w:rsidRPr="00307753">
        <w:rPr>
          <w:rFonts w:eastAsia="Calibri" w:cs="Calibri"/>
        </w:rPr>
        <w:t xml:space="preserve">omit data that curation </w:t>
      </w:r>
      <w:r w:rsidR="00CA79A4" w:rsidRPr="00307753">
        <w:rPr>
          <w:rFonts w:eastAsia="Calibri" w:cs="Calibri"/>
        </w:rPr>
        <w:t xml:space="preserve">must </w:t>
      </w:r>
      <w:r w:rsidR="00A46123" w:rsidRPr="00307753">
        <w:rPr>
          <w:rFonts w:eastAsia="Calibri" w:cs="Calibri"/>
        </w:rPr>
        <w:t xml:space="preserve">recover. </w:t>
      </w:r>
    </w:p>
    <w:p w14:paraId="2F6F7B88" w14:textId="5EAB8326" w:rsidR="00395016" w:rsidRPr="00307753" w:rsidRDefault="00395016" w:rsidP="00395016">
      <w:pPr>
        <w:pStyle w:val="ListParagraph"/>
        <w:numPr>
          <w:ilvl w:val="0"/>
          <w:numId w:val="7"/>
        </w:numPr>
        <w:spacing w:before="120" w:after="120"/>
        <w:rPr>
          <w:rFonts w:eastAsia="Calibri" w:cs="Calibri"/>
        </w:rPr>
      </w:pPr>
      <w:r w:rsidRPr="00307753">
        <w:rPr>
          <w:rFonts w:eastAsia="Calibri" w:cs="Calibri"/>
        </w:rPr>
        <w:t>As a result, curation is often iterative, requiring</w:t>
      </w:r>
      <w:r w:rsidR="006247C3" w:rsidRPr="00307753">
        <w:rPr>
          <w:rFonts w:eastAsia="Calibri" w:cs="Calibri"/>
        </w:rPr>
        <w:t xml:space="preserve"> </w:t>
      </w:r>
      <w:r w:rsidRPr="00307753">
        <w:rPr>
          <w:rFonts w:eastAsia="Calibri" w:cs="Calibri"/>
        </w:rPr>
        <w:t>several visits to a record to achieve a complete</w:t>
      </w:r>
      <w:r w:rsidR="00E8103F" w:rsidRPr="00307753">
        <w:rPr>
          <w:rFonts w:eastAsia="Calibri" w:cs="Calibri"/>
        </w:rPr>
        <w:t>, open</w:t>
      </w:r>
      <w:r w:rsidRPr="00307753">
        <w:rPr>
          <w:rFonts w:eastAsia="Calibri" w:cs="Calibri"/>
        </w:rPr>
        <w:t xml:space="preserve"> and compliant record.</w:t>
      </w:r>
    </w:p>
    <w:p w14:paraId="4B5B2046" w14:textId="55700243" w:rsidR="00391C2A" w:rsidRDefault="00395016" w:rsidP="00975F5B">
      <w:pPr>
        <w:pStyle w:val="ListParagraph"/>
        <w:numPr>
          <w:ilvl w:val="0"/>
          <w:numId w:val="7"/>
        </w:numPr>
        <w:spacing w:before="120" w:after="120"/>
        <w:rPr>
          <w:rFonts w:eastAsia="Calibri" w:cs="Calibri"/>
        </w:rPr>
      </w:pPr>
      <w:r w:rsidRPr="00307753">
        <w:rPr>
          <w:rFonts w:eastAsia="Calibri" w:cs="Calibri"/>
        </w:rPr>
        <w:t xml:space="preserve">The demands of compliance can exacerbate this iteration. </w:t>
      </w:r>
      <w:r w:rsidR="002E56A6" w:rsidRPr="00307753">
        <w:rPr>
          <w:rFonts w:eastAsia="Calibri" w:cs="Calibri"/>
        </w:rPr>
        <w:t xml:space="preserve">REF2021 </w:t>
      </w:r>
      <w:r w:rsidR="006B7206" w:rsidRPr="00307753">
        <w:rPr>
          <w:rFonts w:eastAsia="Calibri" w:cs="Calibri"/>
        </w:rPr>
        <w:t xml:space="preserve">OA </w:t>
      </w:r>
      <w:r w:rsidR="000C68EA" w:rsidRPr="00307753">
        <w:rPr>
          <w:rFonts w:eastAsia="Calibri" w:cs="Calibri"/>
        </w:rPr>
        <w:t xml:space="preserve">policy </w:t>
      </w:r>
      <w:r w:rsidR="002E56A6" w:rsidRPr="00307753">
        <w:rPr>
          <w:rFonts w:eastAsia="Calibri" w:cs="Calibri"/>
        </w:rPr>
        <w:t>has been the dominant influence</w:t>
      </w:r>
      <w:r w:rsidR="00BE2BFC" w:rsidRPr="00307753">
        <w:rPr>
          <w:rFonts w:eastAsia="Calibri" w:cs="Calibri"/>
        </w:rPr>
        <w:t xml:space="preserve"> si</w:t>
      </w:r>
      <w:r w:rsidR="006B7206" w:rsidRPr="00307753">
        <w:rPr>
          <w:rFonts w:eastAsia="Calibri" w:cs="Calibri"/>
        </w:rPr>
        <w:t>nc</w:t>
      </w:r>
      <w:r w:rsidR="00BE2BFC" w:rsidRPr="00307753">
        <w:rPr>
          <w:rFonts w:eastAsia="Calibri" w:cs="Calibri"/>
        </w:rPr>
        <w:t xml:space="preserve">e 2016. It </w:t>
      </w:r>
      <w:r w:rsidR="000C68EA" w:rsidRPr="00307753">
        <w:rPr>
          <w:rFonts w:eastAsia="Calibri" w:cs="Calibri"/>
        </w:rPr>
        <w:t>ne</w:t>
      </w:r>
      <w:r w:rsidR="00C17050" w:rsidRPr="00307753">
        <w:rPr>
          <w:rFonts w:eastAsia="Calibri" w:cs="Calibri"/>
        </w:rPr>
        <w:t xml:space="preserve">cessitated </w:t>
      </w:r>
      <w:r w:rsidR="00782FB8" w:rsidRPr="00307753">
        <w:rPr>
          <w:rFonts w:eastAsia="Calibri" w:cs="Calibri"/>
        </w:rPr>
        <w:t xml:space="preserve">a </w:t>
      </w:r>
      <w:r w:rsidR="00C17050" w:rsidRPr="00307753">
        <w:rPr>
          <w:rFonts w:eastAsia="Calibri" w:cs="Calibri"/>
        </w:rPr>
        <w:t>complet</w:t>
      </w:r>
      <w:r w:rsidR="00782FB8" w:rsidRPr="00307753">
        <w:rPr>
          <w:rFonts w:eastAsia="Calibri" w:cs="Calibri"/>
        </w:rPr>
        <w:t>e</w:t>
      </w:r>
      <w:r w:rsidR="00C17050" w:rsidRPr="00307753">
        <w:rPr>
          <w:rFonts w:eastAsia="Calibri" w:cs="Calibri"/>
        </w:rPr>
        <w:t xml:space="preserve"> workflow re-design and</w:t>
      </w:r>
      <w:r w:rsidR="00922E1D" w:rsidRPr="00307753">
        <w:rPr>
          <w:rFonts w:eastAsia="Calibri" w:cs="Calibri"/>
        </w:rPr>
        <w:t xml:space="preserve"> significant investment in systems</w:t>
      </w:r>
      <w:r w:rsidR="00C17050" w:rsidRPr="00307753">
        <w:rPr>
          <w:rFonts w:eastAsia="Calibri" w:cs="Calibri"/>
        </w:rPr>
        <w:t xml:space="preserve">. </w:t>
      </w:r>
      <w:r w:rsidR="00B65ED0" w:rsidRPr="00307753">
        <w:rPr>
          <w:rFonts w:eastAsia="Calibri" w:cs="Calibri"/>
        </w:rPr>
        <w:t>REF</w:t>
      </w:r>
      <w:r w:rsidR="00C17050" w:rsidRPr="00307753">
        <w:rPr>
          <w:rFonts w:eastAsia="Calibri" w:cs="Calibri"/>
        </w:rPr>
        <w:t xml:space="preserve"> expects</w:t>
      </w:r>
      <w:r w:rsidRPr="00307753">
        <w:rPr>
          <w:rFonts w:eastAsia="Calibri" w:cs="Calibri"/>
        </w:rPr>
        <w:t xml:space="preserve"> curation </w:t>
      </w:r>
      <w:r w:rsidR="00B65ED0" w:rsidRPr="00307753">
        <w:rPr>
          <w:rFonts w:eastAsia="Calibri" w:cs="Calibri"/>
        </w:rPr>
        <w:t xml:space="preserve">to </w:t>
      </w:r>
      <w:r w:rsidRPr="00307753">
        <w:rPr>
          <w:rFonts w:eastAsia="Calibri" w:cs="Calibri"/>
        </w:rPr>
        <w:t>begin</w:t>
      </w:r>
      <w:r w:rsidR="00B65ED0" w:rsidRPr="00307753">
        <w:rPr>
          <w:rFonts w:eastAsia="Calibri" w:cs="Calibri"/>
        </w:rPr>
        <w:t xml:space="preserve"> </w:t>
      </w:r>
      <w:r w:rsidRPr="00307753">
        <w:rPr>
          <w:rFonts w:eastAsia="Calibri" w:cs="Calibri"/>
        </w:rPr>
        <w:t xml:space="preserve">at </w:t>
      </w:r>
      <w:r w:rsidR="00782FB8" w:rsidRPr="00307753">
        <w:rPr>
          <w:rFonts w:eastAsia="Calibri" w:cs="Calibri"/>
        </w:rPr>
        <w:t>‘</w:t>
      </w:r>
      <w:r w:rsidRPr="00307753">
        <w:rPr>
          <w:rFonts w:eastAsia="Calibri" w:cs="Calibri"/>
        </w:rPr>
        <w:t>acceptance’</w:t>
      </w:r>
      <w:r w:rsidR="00E63139" w:rsidRPr="00307753">
        <w:rPr>
          <w:rFonts w:eastAsia="Calibri" w:cs="Calibri"/>
        </w:rPr>
        <w:t>,</w:t>
      </w:r>
      <w:r w:rsidRPr="00307753">
        <w:rPr>
          <w:rFonts w:eastAsia="Calibri" w:cs="Calibri"/>
        </w:rPr>
        <w:t xml:space="preserve"> when very little metadata is available; and </w:t>
      </w:r>
      <w:r w:rsidR="00C17050" w:rsidRPr="00307753">
        <w:rPr>
          <w:rFonts w:eastAsia="Calibri" w:cs="Calibri"/>
        </w:rPr>
        <w:t xml:space="preserve">has </w:t>
      </w:r>
      <w:r w:rsidRPr="00307753">
        <w:rPr>
          <w:rFonts w:eastAsia="Calibri" w:cs="Calibri"/>
        </w:rPr>
        <w:t xml:space="preserve">a compliance timeline </w:t>
      </w:r>
      <w:r w:rsidR="00E63139" w:rsidRPr="00307753">
        <w:rPr>
          <w:rFonts w:eastAsia="Calibri" w:cs="Calibri"/>
        </w:rPr>
        <w:t xml:space="preserve">that </w:t>
      </w:r>
      <w:r w:rsidRPr="00307753">
        <w:rPr>
          <w:rFonts w:eastAsia="Calibri" w:cs="Calibri"/>
        </w:rPr>
        <w:t>depend</w:t>
      </w:r>
      <w:r w:rsidR="00E63139" w:rsidRPr="00307753">
        <w:rPr>
          <w:rFonts w:eastAsia="Calibri" w:cs="Calibri"/>
        </w:rPr>
        <w:t>s</w:t>
      </w:r>
      <w:r w:rsidRPr="00307753">
        <w:rPr>
          <w:rFonts w:eastAsia="Calibri" w:cs="Calibri"/>
        </w:rPr>
        <w:t xml:space="preserve"> on publication events that are often opaque or difficult to discover in a timely manner. </w:t>
      </w:r>
      <w:r w:rsidR="00975F5B" w:rsidRPr="00307753">
        <w:rPr>
          <w:rFonts w:eastAsia="Calibri" w:cs="Calibri"/>
        </w:rPr>
        <w:t>As a result</w:t>
      </w:r>
      <w:r w:rsidR="00E8103F" w:rsidRPr="00307753">
        <w:rPr>
          <w:rFonts w:eastAsia="Calibri" w:cs="Calibri"/>
        </w:rPr>
        <w:t>,</w:t>
      </w:r>
      <w:r w:rsidR="00975F5B" w:rsidRPr="00307753">
        <w:rPr>
          <w:rFonts w:eastAsia="Calibri" w:cs="Calibri"/>
        </w:rPr>
        <w:t xml:space="preserve"> </w:t>
      </w:r>
      <w:r w:rsidR="00E8103F" w:rsidRPr="00307753">
        <w:rPr>
          <w:rFonts w:eastAsia="Calibri" w:cs="Calibri"/>
        </w:rPr>
        <w:t>s</w:t>
      </w:r>
      <w:r w:rsidR="00975F5B" w:rsidRPr="00307753">
        <w:rPr>
          <w:rFonts w:eastAsia="Calibri" w:cs="Calibri"/>
        </w:rPr>
        <w:t>ignificant</w:t>
      </w:r>
      <w:r w:rsidR="002F26D1" w:rsidRPr="00307753">
        <w:rPr>
          <w:rFonts w:eastAsia="Calibri" w:cs="Calibri"/>
        </w:rPr>
        <w:t xml:space="preserve"> repetitive manual </w:t>
      </w:r>
      <w:r w:rsidR="00782FB8" w:rsidRPr="00307753">
        <w:rPr>
          <w:rFonts w:eastAsia="Calibri" w:cs="Calibri"/>
        </w:rPr>
        <w:t>checking of record</w:t>
      </w:r>
      <w:r w:rsidR="00391C2A" w:rsidRPr="00307753">
        <w:rPr>
          <w:rFonts w:eastAsia="Calibri" w:cs="Calibri"/>
        </w:rPr>
        <w:t>s</w:t>
      </w:r>
      <w:r w:rsidR="00782FB8" w:rsidRPr="00307753">
        <w:rPr>
          <w:rFonts w:eastAsia="Calibri" w:cs="Calibri"/>
        </w:rPr>
        <w:t xml:space="preserve"> </w:t>
      </w:r>
      <w:r w:rsidR="00975F5B" w:rsidRPr="00307753">
        <w:rPr>
          <w:rFonts w:eastAsia="Calibri" w:cs="Calibri"/>
        </w:rPr>
        <w:t>is needed</w:t>
      </w:r>
      <w:r w:rsidR="00782FB8" w:rsidRPr="00307753">
        <w:rPr>
          <w:rFonts w:eastAsia="Calibri" w:cs="Calibri"/>
        </w:rPr>
        <w:t>.</w:t>
      </w:r>
    </w:p>
    <w:p w14:paraId="4513A42C" w14:textId="56708D3E" w:rsidR="002069D3" w:rsidRPr="002069D3" w:rsidRDefault="002069D3" w:rsidP="002069D3">
      <w:pPr>
        <w:rPr>
          <w:rFonts w:eastAsia="Calibri" w:cs="Calibri"/>
        </w:rPr>
      </w:pPr>
      <w:r w:rsidRPr="002069D3">
        <w:rPr>
          <w:lang w:val="en-GB"/>
        </w:rPr>
        <w:t xml:space="preserve">The </w:t>
      </w:r>
      <w:r w:rsidRPr="002069D3">
        <w:rPr>
          <w:rFonts w:eastAsia="Calibri" w:cs="Calibri"/>
        </w:rPr>
        <w:t>curation workflow for research outputs through the RIS and UHRA systems is shown in Figure 1.</w:t>
      </w:r>
    </w:p>
    <w:p w14:paraId="091BB43C" w14:textId="77777777" w:rsidR="00290063" w:rsidRPr="00290063" w:rsidRDefault="00290063" w:rsidP="00290063">
      <w:pPr>
        <w:pStyle w:val="Heading2"/>
        <w:jc w:val="center"/>
        <w:rPr>
          <w:rFonts w:asciiTheme="minorHAnsi" w:hAnsiTheme="minorHAnsi"/>
          <w:lang w:val="en-GB"/>
        </w:rPr>
      </w:pPr>
      <w:r w:rsidRPr="00307753">
        <w:rPr>
          <w:noProof/>
        </w:rPr>
        <w:lastRenderedPageBreak/>
        <w:drawing>
          <wp:inline distT="0" distB="0" distL="0" distR="0" wp14:anchorId="0F0B8550" wp14:editId="60E6828E">
            <wp:extent cx="5943600" cy="6859520"/>
            <wp:effectExtent l="0" t="0" r="0" b="0"/>
            <wp:docPr id="1573692427" name="Picture 157369242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3692427" name="Picture 1573692427" descr="Diagram&#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5989445" cy="6912430"/>
                    </a:xfrm>
                    <a:prstGeom prst="rect">
                      <a:avLst/>
                    </a:prstGeom>
                  </pic:spPr>
                </pic:pic>
              </a:graphicData>
            </a:graphic>
          </wp:inline>
        </w:drawing>
      </w:r>
    </w:p>
    <w:p w14:paraId="06DE08FD" w14:textId="77777777" w:rsidR="00290063" w:rsidRPr="00307753" w:rsidRDefault="00290063" w:rsidP="00290063">
      <w:pPr>
        <w:spacing w:before="120" w:after="120"/>
        <w:jc w:val="center"/>
        <w:rPr>
          <w:rFonts w:eastAsia="Calibri" w:cs="Calibri"/>
          <w:b/>
          <w:bCs/>
          <w:sz w:val="20"/>
          <w:szCs w:val="20"/>
        </w:rPr>
      </w:pPr>
      <w:r w:rsidRPr="00307753">
        <w:rPr>
          <w:rFonts w:eastAsia="Calibri" w:cs="Calibri"/>
          <w:b/>
          <w:bCs/>
          <w:sz w:val="20"/>
          <w:szCs w:val="20"/>
        </w:rPr>
        <w:t>Figure1. Research Output Curation Workflow</w:t>
      </w:r>
    </w:p>
    <w:p w14:paraId="2646017F" w14:textId="5E794674" w:rsidR="00391C2A" w:rsidRPr="00307753" w:rsidRDefault="00391C2A" w:rsidP="00391C2A">
      <w:pPr>
        <w:spacing w:before="120" w:after="120"/>
      </w:pPr>
    </w:p>
    <w:p w14:paraId="40DBC84D" w14:textId="4468FCE2" w:rsidR="003D2DC1" w:rsidRPr="00307753" w:rsidRDefault="0006699F" w:rsidP="007C0D3F">
      <w:pPr>
        <w:spacing w:before="120" w:after="120"/>
        <w:rPr>
          <w:rFonts w:eastAsia="Calibri" w:cs="Calibri"/>
        </w:rPr>
      </w:pPr>
      <w:hyperlink w:anchor="_Appendix_C_Workflow" w:history="1">
        <w:r w:rsidR="007C0D3F" w:rsidRPr="00307753">
          <w:rPr>
            <w:rStyle w:val="Hyperlink"/>
            <w:rFonts w:eastAsia="Calibri" w:cs="Calibri"/>
          </w:rPr>
          <w:t xml:space="preserve">Appendix </w:t>
        </w:r>
        <w:r w:rsidR="00E94FF1" w:rsidRPr="00307753">
          <w:rPr>
            <w:rStyle w:val="Hyperlink"/>
            <w:rFonts w:eastAsia="Calibri" w:cs="Calibri"/>
          </w:rPr>
          <w:t>C</w:t>
        </w:r>
        <w:r w:rsidR="00B6128C" w:rsidRPr="00307753">
          <w:rPr>
            <w:rStyle w:val="Hyperlink"/>
            <w:rFonts w:eastAsia="Calibri" w:cs="Calibri"/>
          </w:rPr>
          <w:t>:</w:t>
        </w:r>
        <w:r w:rsidR="002C35FC" w:rsidRPr="00307753">
          <w:rPr>
            <w:rStyle w:val="Hyperlink"/>
            <w:rFonts w:eastAsia="Calibri" w:cs="Calibri"/>
          </w:rPr>
          <w:t xml:space="preserve"> </w:t>
        </w:r>
        <w:r w:rsidR="00C55590" w:rsidRPr="00307753">
          <w:rPr>
            <w:rStyle w:val="Hyperlink"/>
            <w:rFonts w:eastAsia="Calibri" w:cs="Calibri"/>
          </w:rPr>
          <w:t xml:space="preserve">workflow </w:t>
        </w:r>
        <w:r w:rsidR="002C35FC" w:rsidRPr="00307753">
          <w:rPr>
            <w:rStyle w:val="Hyperlink"/>
            <w:rFonts w:eastAsia="Calibri" w:cs="Calibri"/>
          </w:rPr>
          <w:t>notes</w:t>
        </w:r>
        <w:r w:rsidR="00E94FF1" w:rsidRPr="00307753">
          <w:rPr>
            <w:rStyle w:val="Hyperlink"/>
            <w:rFonts w:eastAsia="Calibri" w:cs="Calibri"/>
          </w:rPr>
          <w:t xml:space="preserve"> </w:t>
        </w:r>
        <w:r w:rsidR="001F55E1" w:rsidRPr="00307753">
          <w:rPr>
            <w:rStyle w:val="Hyperlink"/>
            <w:rFonts w:eastAsia="Calibri" w:cs="Calibri"/>
          </w:rPr>
          <w:t>(</w:t>
        </w:r>
        <w:r w:rsidR="00E94FF1" w:rsidRPr="00307753">
          <w:rPr>
            <w:rStyle w:val="Hyperlink"/>
            <w:rFonts w:eastAsia="Calibri" w:cs="Calibri"/>
          </w:rPr>
          <w:t>including REF</w:t>
        </w:r>
        <w:r w:rsidR="001F55E1" w:rsidRPr="00307753">
          <w:rPr>
            <w:rStyle w:val="Hyperlink"/>
            <w:rFonts w:eastAsia="Calibri" w:cs="Calibri"/>
          </w:rPr>
          <w:t xml:space="preserve"> Compliance)</w:t>
        </w:r>
      </w:hyperlink>
    </w:p>
    <w:p w14:paraId="7A04B7D6" w14:textId="4C67FCE5" w:rsidR="00301F70" w:rsidRPr="002069D3" w:rsidRDefault="0006699F" w:rsidP="00301F70">
      <w:pPr>
        <w:spacing w:before="120" w:after="120"/>
        <w:rPr>
          <w:rFonts w:eastAsia="Calibri" w:cs="Calibri"/>
        </w:rPr>
      </w:pPr>
      <w:hyperlink r:id="rId21" w:history="1">
        <w:r w:rsidR="00B6128C" w:rsidRPr="00307753">
          <w:rPr>
            <w:rStyle w:val="Hyperlink"/>
            <w:rFonts w:eastAsia="Calibri" w:cs="Calibri"/>
          </w:rPr>
          <w:t xml:space="preserve">Appendix </w:t>
        </w:r>
        <w:r w:rsidR="00E94FF1" w:rsidRPr="00307753">
          <w:rPr>
            <w:rStyle w:val="Hyperlink"/>
            <w:rFonts w:eastAsia="Calibri" w:cs="Calibri"/>
          </w:rPr>
          <w:t>D</w:t>
        </w:r>
        <w:r w:rsidR="00B6128C" w:rsidRPr="00307753">
          <w:rPr>
            <w:rStyle w:val="Hyperlink"/>
            <w:rFonts w:eastAsia="Calibri" w:cs="Calibri"/>
          </w:rPr>
          <w:t xml:space="preserve"> (online): </w:t>
        </w:r>
        <w:r w:rsidR="007C0D3F" w:rsidRPr="00307753">
          <w:rPr>
            <w:rStyle w:val="Hyperlink"/>
            <w:rFonts w:eastAsia="Calibri" w:cs="Calibri"/>
          </w:rPr>
          <w:t>RSC curation manual</w:t>
        </w:r>
      </w:hyperlink>
      <w:r w:rsidR="007C0D3F" w:rsidRPr="00307753">
        <w:rPr>
          <w:rFonts w:eastAsia="Calibri" w:cs="Calibri"/>
        </w:rPr>
        <w:t xml:space="preserve"> </w:t>
      </w:r>
    </w:p>
    <w:p w14:paraId="5E8569FF" w14:textId="36E06773" w:rsidR="004A1847" w:rsidRPr="00307753" w:rsidRDefault="004A1847" w:rsidP="004A1847">
      <w:pPr>
        <w:pStyle w:val="Heading2"/>
        <w:rPr>
          <w:rFonts w:asciiTheme="minorHAnsi" w:eastAsia="Calibri" w:hAnsiTheme="minorHAnsi"/>
        </w:rPr>
      </w:pPr>
      <w:bookmarkStart w:id="10" w:name="_Toc65071791"/>
      <w:r w:rsidRPr="00307753">
        <w:rPr>
          <w:rFonts w:asciiTheme="minorHAnsi" w:eastAsia="Calibri" w:hAnsiTheme="minorHAnsi"/>
        </w:rPr>
        <w:lastRenderedPageBreak/>
        <w:t>3.3 Process Challenges</w:t>
      </w:r>
      <w:bookmarkEnd w:id="10"/>
    </w:p>
    <w:p w14:paraId="3F405060" w14:textId="378E6A9E" w:rsidR="004A1847" w:rsidRPr="00307753" w:rsidRDefault="004A1847" w:rsidP="004A1847">
      <w:r w:rsidRPr="00307753">
        <w:t xml:space="preserve">There is </w:t>
      </w:r>
      <w:r w:rsidR="00520A09" w:rsidRPr="00307753">
        <w:t>significant</w:t>
      </w:r>
      <w:r w:rsidRPr="00307753">
        <w:t xml:space="preserve"> complexity in </w:t>
      </w:r>
      <w:r w:rsidR="00520A09" w:rsidRPr="00307753">
        <w:t xml:space="preserve">the </w:t>
      </w:r>
      <w:r w:rsidRPr="00307753">
        <w:t xml:space="preserve">publishing </w:t>
      </w:r>
      <w:r w:rsidR="00520A09" w:rsidRPr="00307753">
        <w:t xml:space="preserve">lifecycle </w:t>
      </w:r>
      <w:r w:rsidRPr="00307753">
        <w:t xml:space="preserve">and </w:t>
      </w:r>
      <w:r w:rsidR="00520A09" w:rsidRPr="00307753">
        <w:t xml:space="preserve">in funding body </w:t>
      </w:r>
      <w:r w:rsidRPr="00307753">
        <w:t>compliance</w:t>
      </w:r>
      <w:r w:rsidR="00520A09" w:rsidRPr="00307753">
        <w:t xml:space="preserve">. </w:t>
      </w:r>
      <w:r w:rsidR="00587A5B">
        <w:t>These factors</w:t>
      </w:r>
      <w:r w:rsidRPr="00307753">
        <w:t xml:space="preserve"> challenge </w:t>
      </w:r>
      <w:r w:rsidR="00520A09" w:rsidRPr="00307753">
        <w:t xml:space="preserve">both </w:t>
      </w:r>
      <w:r w:rsidRPr="00307753">
        <w:t xml:space="preserve">authors and administrators to successfully achieve OA.  </w:t>
      </w:r>
    </w:p>
    <w:p w14:paraId="21584C91" w14:textId="31B2F472" w:rsidR="004A1847" w:rsidRPr="00307753" w:rsidRDefault="004A1847" w:rsidP="004A1847">
      <w:pPr>
        <w:pStyle w:val="Heading3"/>
        <w:rPr>
          <w:rFonts w:asciiTheme="minorHAnsi" w:hAnsiTheme="minorHAnsi"/>
        </w:rPr>
      </w:pPr>
      <w:r w:rsidRPr="00307753">
        <w:rPr>
          <w:rFonts w:asciiTheme="minorHAnsi" w:hAnsiTheme="minorHAnsi"/>
        </w:rPr>
        <w:t xml:space="preserve">3.3.1 </w:t>
      </w:r>
      <w:r w:rsidRPr="00307753">
        <w:rPr>
          <w:rFonts w:asciiTheme="minorHAnsi" w:eastAsia="Calibri" w:hAnsiTheme="minorHAnsi"/>
        </w:rPr>
        <w:t>Challenges</w:t>
      </w:r>
    </w:p>
    <w:p w14:paraId="537E1A69" w14:textId="3D065629" w:rsidR="004A1847" w:rsidRPr="00307753" w:rsidRDefault="004A1847" w:rsidP="004A1847">
      <w:r w:rsidRPr="00307753">
        <w:t xml:space="preserve">The main challenges to our OA processes are poor metadata, lack of automated data exchange, ambiguous or inhibiting publisher’s usage terms, and complex policy. </w:t>
      </w:r>
    </w:p>
    <w:p w14:paraId="27C80FC7" w14:textId="48358974" w:rsidR="004A1847" w:rsidRPr="00307753" w:rsidRDefault="004A1847" w:rsidP="004A1847">
      <w:r w:rsidRPr="00307753">
        <w:t xml:space="preserve">These factors result workflows that remain reliant on </w:t>
      </w:r>
      <w:r w:rsidR="00F76BA5" w:rsidRPr="00307753">
        <w:t>manual data processing</w:t>
      </w:r>
      <w:r w:rsidR="00345F28" w:rsidRPr="00307753">
        <w:t>,</w:t>
      </w:r>
      <w:r w:rsidR="00295A1D" w:rsidRPr="00307753">
        <w:t xml:space="preserve"> </w:t>
      </w:r>
      <w:r w:rsidR="00C929D3" w:rsidRPr="00307753">
        <w:t xml:space="preserve">and </w:t>
      </w:r>
      <w:r w:rsidR="00295A1D" w:rsidRPr="00307753">
        <w:t>which</w:t>
      </w:r>
      <w:r w:rsidR="00345F28" w:rsidRPr="00307753">
        <w:t xml:space="preserve"> </w:t>
      </w:r>
      <w:r w:rsidR="00C92075" w:rsidRPr="00307753">
        <w:t xml:space="preserve">carry </w:t>
      </w:r>
      <w:r w:rsidR="00F76BA5" w:rsidRPr="00307753">
        <w:t xml:space="preserve">multiple </w:t>
      </w:r>
      <w:r w:rsidR="00C92075" w:rsidRPr="00307753">
        <w:t>pot</w:t>
      </w:r>
      <w:r w:rsidR="00345F28" w:rsidRPr="00307753">
        <w:t>ential</w:t>
      </w:r>
      <w:r w:rsidR="00C92075" w:rsidRPr="00307753">
        <w:t xml:space="preserve"> p</w:t>
      </w:r>
      <w:r w:rsidR="00345F28" w:rsidRPr="00307753">
        <w:t>o</w:t>
      </w:r>
      <w:r w:rsidR="00C92075" w:rsidRPr="00307753">
        <w:t>ints of fai</w:t>
      </w:r>
      <w:r w:rsidR="00345F28" w:rsidRPr="00307753">
        <w:t>lure</w:t>
      </w:r>
      <w:r w:rsidRPr="00307753">
        <w:t>.</w:t>
      </w:r>
      <w:r w:rsidR="00D85F8C" w:rsidRPr="00307753">
        <w:t xml:space="preserve"> </w:t>
      </w:r>
      <w:r w:rsidR="00C06419" w:rsidRPr="00307753">
        <w:t>Our processes</w:t>
      </w:r>
      <w:r w:rsidR="00D1705D" w:rsidRPr="00307753">
        <w:t xml:space="preserve"> </w:t>
      </w:r>
      <w:r w:rsidR="00C06419" w:rsidRPr="00307753">
        <w:t>are aware o</w:t>
      </w:r>
      <w:r w:rsidR="001E34B3" w:rsidRPr="00307753">
        <w:t>f</w:t>
      </w:r>
      <w:r w:rsidR="00345F28" w:rsidRPr="00307753">
        <w:t>,</w:t>
      </w:r>
      <w:r w:rsidR="001E34B3" w:rsidRPr="00307753">
        <w:t xml:space="preserve"> but not dominated by </w:t>
      </w:r>
      <w:r w:rsidR="00345F28" w:rsidRPr="00307753">
        <w:t>this risk</w:t>
      </w:r>
      <w:r w:rsidR="00D1705D" w:rsidRPr="00307753">
        <w:t>. Best practice</w:t>
      </w:r>
      <w:r w:rsidR="00181EC1" w:rsidRPr="00307753">
        <w:t>, consistent working</w:t>
      </w:r>
      <w:r w:rsidR="00D311BE">
        <w:t>,</w:t>
      </w:r>
      <w:r w:rsidR="00181EC1" w:rsidRPr="00307753">
        <w:t xml:space="preserve"> and finessed design </w:t>
      </w:r>
      <w:r w:rsidR="00520A09" w:rsidRPr="00307753">
        <w:t xml:space="preserve">are able to </w:t>
      </w:r>
      <w:r w:rsidR="00181EC1" w:rsidRPr="00307753">
        <w:t xml:space="preserve">mitigate the risks. </w:t>
      </w:r>
    </w:p>
    <w:p w14:paraId="411212C5" w14:textId="32A6B584" w:rsidR="004A1847" w:rsidRPr="00307753" w:rsidRDefault="004A1847" w:rsidP="004A1847">
      <w:pPr>
        <w:pStyle w:val="Heading3"/>
        <w:rPr>
          <w:rFonts w:asciiTheme="minorHAnsi" w:hAnsiTheme="minorHAnsi"/>
        </w:rPr>
      </w:pPr>
      <w:r w:rsidRPr="00307753">
        <w:rPr>
          <w:rFonts w:asciiTheme="minorHAnsi" w:hAnsiTheme="minorHAnsi"/>
        </w:rPr>
        <w:t>3.3.2 Risk</w:t>
      </w:r>
    </w:p>
    <w:p w14:paraId="6D66E25C" w14:textId="0BA923F3" w:rsidR="004A1847" w:rsidRPr="00307753" w:rsidRDefault="004A1847" w:rsidP="004A1847">
      <w:r w:rsidRPr="00307753">
        <w:t xml:space="preserve">There are three main risks </w:t>
      </w:r>
      <w:r w:rsidR="00BE2279" w:rsidRPr="00307753">
        <w:t xml:space="preserve">that </w:t>
      </w:r>
      <w:r w:rsidR="00DA49D8" w:rsidRPr="00307753">
        <w:t xml:space="preserve">may result from </w:t>
      </w:r>
      <w:r w:rsidRPr="00307753">
        <w:t>process</w:t>
      </w:r>
      <w:r w:rsidR="00DA49D8" w:rsidRPr="00307753">
        <w:t xml:space="preserve"> failure.</w:t>
      </w:r>
    </w:p>
    <w:p w14:paraId="2958800E" w14:textId="457A8B9E" w:rsidR="00DA49D8" w:rsidRPr="00307753" w:rsidRDefault="00DA49D8" w:rsidP="00DA49D8">
      <w:pPr>
        <w:pStyle w:val="ListParagraph"/>
        <w:numPr>
          <w:ilvl w:val="0"/>
          <w:numId w:val="12"/>
        </w:numPr>
        <w:rPr>
          <w:rFonts w:eastAsia="Calibri" w:cs="Calibri"/>
        </w:rPr>
      </w:pPr>
      <w:r w:rsidRPr="00307753">
        <w:rPr>
          <w:rFonts w:eastAsia="Calibri" w:cs="Calibri"/>
        </w:rPr>
        <w:t xml:space="preserve">Failure to achieve Open Access (may adversely </w:t>
      </w:r>
      <w:r w:rsidR="00330CBA" w:rsidRPr="00307753">
        <w:rPr>
          <w:rFonts w:eastAsia="Calibri" w:cs="Calibri"/>
        </w:rPr>
        <w:t>affect</w:t>
      </w:r>
      <w:r w:rsidRPr="00307753">
        <w:rPr>
          <w:rFonts w:eastAsia="Calibri" w:cs="Calibri"/>
        </w:rPr>
        <w:t xml:space="preserve"> the impact of the work) </w:t>
      </w:r>
    </w:p>
    <w:p w14:paraId="64B0B5CE" w14:textId="6A824A73" w:rsidR="004A1847" w:rsidRPr="00307753" w:rsidRDefault="004A1847" w:rsidP="004A1847">
      <w:pPr>
        <w:pStyle w:val="ListParagraph"/>
        <w:numPr>
          <w:ilvl w:val="0"/>
          <w:numId w:val="12"/>
        </w:numPr>
        <w:rPr>
          <w:rFonts w:eastAsia="Calibri" w:cs="Calibri"/>
        </w:rPr>
      </w:pPr>
      <w:r w:rsidRPr="00307753">
        <w:rPr>
          <w:rFonts w:eastAsia="Calibri" w:cs="Calibri"/>
        </w:rPr>
        <w:t xml:space="preserve">Non-Compliance with funder policy (may adversely </w:t>
      </w:r>
      <w:r w:rsidR="000631CE" w:rsidRPr="00307753">
        <w:rPr>
          <w:rFonts w:eastAsia="Calibri" w:cs="Calibri"/>
        </w:rPr>
        <w:t>affect</w:t>
      </w:r>
      <w:r w:rsidRPr="00307753">
        <w:rPr>
          <w:rFonts w:eastAsia="Calibri" w:cs="Calibri"/>
        </w:rPr>
        <w:t xml:space="preserve"> the author’s or the institution’s future funding)</w:t>
      </w:r>
    </w:p>
    <w:p w14:paraId="0941CD40" w14:textId="287A045A" w:rsidR="00DA49D8" w:rsidRPr="00307753" w:rsidRDefault="00FF73B5" w:rsidP="00DA49D8">
      <w:pPr>
        <w:pStyle w:val="ListParagraph"/>
        <w:numPr>
          <w:ilvl w:val="0"/>
          <w:numId w:val="12"/>
        </w:numPr>
        <w:rPr>
          <w:rFonts w:eastAsia="Calibri" w:cs="Calibri"/>
        </w:rPr>
      </w:pPr>
      <w:r w:rsidRPr="00307753">
        <w:t>Self-deposit</w:t>
      </w:r>
      <w:r w:rsidR="00DA49D8" w:rsidRPr="00307753">
        <w:t xml:space="preserve"> may </w:t>
      </w:r>
      <w:r w:rsidR="00DA49D8" w:rsidRPr="00307753">
        <w:rPr>
          <w:rFonts w:eastAsia="Calibri" w:cs="Calibri"/>
        </w:rPr>
        <w:t xml:space="preserve">contravene publisher’s rights (may result in legal challenge) </w:t>
      </w:r>
    </w:p>
    <w:p w14:paraId="0B329FEC" w14:textId="503DD92B" w:rsidR="004A1847" w:rsidRPr="00307753" w:rsidRDefault="004A1847" w:rsidP="004A1847">
      <w:pPr>
        <w:pStyle w:val="Heading3"/>
        <w:rPr>
          <w:rFonts w:asciiTheme="minorHAnsi" w:hAnsiTheme="minorHAnsi"/>
        </w:rPr>
      </w:pPr>
      <w:r w:rsidRPr="00307753">
        <w:rPr>
          <w:rFonts w:asciiTheme="minorHAnsi" w:hAnsiTheme="minorHAnsi"/>
        </w:rPr>
        <w:t xml:space="preserve">3.3.3 </w:t>
      </w:r>
      <w:r w:rsidR="00355ADA" w:rsidRPr="00307753">
        <w:rPr>
          <w:rFonts w:asciiTheme="minorHAnsi" w:hAnsiTheme="minorHAnsi"/>
        </w:rPr>
        <w:t xml:space="preserve">Result of </w:t>
      </w:r>
      <w:r w:rsidR="00D858C8" w:rsidRPr="00307753">
        <w:rPr>
          <w:rFonts w:asciiTheme="minorHAnsi" w:hAnsiTheme="minorHAnsi"/>
        </w:rPr>
        <w:t>M</w:t>
      </w:r>
      <w:r w:rsidRPr="00307753">
        <w:rPr>
          <w:rFonts w:asciiTheme="minorHAnsi" w:hAnsiTheme="minorHAnsi"/>
        </w:rPr>
        <w:t>itigation</w:t>
      </w:r>
    </w:p>
    <w:p w14:paraId="302DD915" w14:textId="0257D798" w:rsidR="004A1847" w:rsidRPr="00307753" w:rsidRDefault="004A1847" w:rsidP="004A1847">
      <w:pPr>
        <w:spacing w:before="120" w:after="120"/>
        <w:rPr>
          <w:rFonts w:eastAsia="Calibri" w:cs="Calibri"/>
        </w:rPr>
      </w:pPr>
      <w:r w:rsidRPr="00307753">
        <w:rPr>
          <w:rFonts w:eastAsia="Calibri" w:cs="Calibri"/>
        </w:rPr>
        <w:t xml:space="preserve">We believe our </w:t>
      </w:r>
      <w:r w:rsidR="001B6545" w:rsidRPr="00307753">
        <w:rPr>
          <w:rFonts w:eastAsia="Calibri" w:cs="Calibri"/>
        </w:rPr>
        <w:t xml:space="preserve">processes largely </w:t>
      </w:r>
      <w:r w:rsidRPr="00307753">
        <w:rPr>
          <w:rFonts w:eastAsia="Calibri" w:cs="Calibri"/>
        </w:rPr>
        <w:t>mitigate the risks above</w:t>
      </w:r>
      <w:r w:rsidR="001B6545" w:rsidRPr="00307753">
        <w:rPr>
          <w:rFonts w:eastAsia="Calibri" w:cs="Calibri"/>
        </w:rPr>
        <w:t xml:space="preserve">. This is </w:t>
      </w:r>
      <w:r w:rsidR="00344287" w:rsidRPr="00307753">
        <w:rPr>
          <w:rFonts w:eastAsia="Calibri" w:cs="Calibri"/>
        </w:rPr>
        <w:t>demonstrated</w:t>
      </w:r>
      <w:r w:rsidR="001B6545" w:rsidRPr="00307753">
        <w:rPr>
          <w:rFonts w:eastAsia="Calibri" w:cs="Calibri"/>
        </w:rPr>
        <w:t xml:space="preserve"> </w:t>
      </w:r>
      <w:r w:rsidR="009C5102" w:rsidRPr="00307753">
        <w:rPr>
          <w:rFonts w:eastAsia="Calibri" w:cs="Calibri"/>
        </w:rPr>
        <w:t>by:</w:t>
      </w:r>
      <w:r w:rsidRPr="00307753">
        <w:rPr>
          <w:rFonts w:eastAsia="Calibri" w:cs="Calibri"/>
        </w:rPr>
        <w:t xml:space="preserve"> </w:t>
      </w:r>
    </w:p>
    <w:p w14:paraId="538896FA" w14:textId="634AF73A" w:rsidR="00355ADA" w:rsidRPr="00307753" w:rsidRDefault="00355ADA" w:rsidP="00355ADA">
      <w:pPr>
        <w:pStyle w:val="ListParagraph"/>
        <w:numPr>
          <w:ilvl w:val="0"/>
          <w:numId w:val="11"/>
        </w:numPr>
        <w:spacing w:before="120" w:after="120"/>
        <w:rPr>
          <w:rFonts w:eastAsia="Calibri" w:cs="Calibri"/>
        </w:rPr>
      </w:pPr>
      <w:r w:rsidRPr="00307753">
        <w:rPr>
          <w:rFonts w:eastAsia="Calibri" w:cs="Calibri"/>
        </w:rPr>
        <w:t xml:space="preserve">our overall rate of OA, measured against the number of all outputs, has increased in the period 2016 to 2020; </w:t>
      </w:r>
    </w:p>
    <w:p w14:paraId="61A6EC2A" w14:textId="0360A0BD" w:rsidR="004A1847" w:rsidRPr="00307753" w:rsidRDefault="004A1847" w:rsidP="004A1847">
      <w:pPr>
        <w:pStyle w:val="ListParagraph"/>
        <w:numPr>
          <w:ilvl w:val="0"/>
          <w:numId w:val="11"/>
        </w:numPr>
        <w:spacing w:before="120" w:after="120"/>
        <w:rPr>
          <w:rFonts w:eastAsia="Calibri" w:cs="Calibri"/>
        </w:rPr>
      </w:pPr>
      <w:r w:rsidRPr="00307753">
        <w:rPr>
          <w:rFonts w:eastAsia="Calibri" w:cs="Calibri"/>
        </w:rPr>
        <w:t xml:space="preserve">our REF2021 OA compliance rates are within </w:t>
      </w:r>
      <w:r w:rsidR="001B6545" w:rsidRPr="00307753">
        <w:rPr>
          <w:rFonts w:eastAsia="Calibri" w:cs="Calibri"/>
        </w:rPr>
        <w:t xml:space="preserve">unit of assessment </w:t>
      </w:r>
      <w:r w:rsidRPr="00307753">
        <w:rPr>
          <w:rFonts w:eastAsia="Calibri" w:cs="Calibri"/>
        </w:rPr>
        <w:t>tolerance</w:t>
      </w:r>
      <w:r w:rsidR="001B6545" w:rsidRPr="00307753">
        <w:rPr>
          <w:rFonts w:eastAsia="Calibri" w:cs="Calibri"/>
        </w:rPr>
        <w:t>s;</w:t>
      </w:r>
      <w:r w:rsidRPr="00307753">
        <w:rPr>
          <w:rFonts w:eastAsia="Calibri" w:cs="Calibri"/>
        </w:rPr>
        <w:t xml:space="preserve"> and</w:t>
      </w:r>
      <w:r w:rsidR="001B6545" w:rsidRPr="00307753">
        <w:rPr>
          <w:rFonts w:eastAsia="Calibri" w:cs="Calibri"/>
        </w:rPr>
        <w:t>,</w:t>
      </w:r>
      <w:r w:rsidRPr="00307753">
        <w:rPr>
          <w:rFonts w:eastAsia="Calibri" w:cs="Calibri"/>
        </w:rPr>
        <w:t xml:space="preserve"> we rarely find a mistake when reviewing dates and exceptions among items likely to be submitted to REF;</w:t>
      </w:r>
    </w:p>
    <w:p w14:paraId="270E1BBD" w14:textId="0A99CC5F" w:rsidR="00F94AC4" w:rsidRPr="00307753" w:rsidRDefault="00355ADA" w:rsidP="00F94AC4">
      <w:pPr>
        <w:pStyle w:val="ListParagraph"/>
        <w:numPr>
          <w:ilvl w:val="0"/>
          <w:numId w:val="11"/>
        </w:numPr>
        <w:spacing w:before="120" w:after="120"/>
        <w:rPr>
          <w:rFonts w:eastAsia="Calibri" w:cs="Calibri"/>
        </w:rPr>
      </w:pPr>
      <w:r w:rsidRPr="00307753">
        <w:rPr>
          <w:rFonts w:eastAsia="Calibri" w:cs="Calibri"/>
        </w:rPr>
        <w:t>we have no record of a compl</w:t>
      </w:r>
      <w:r w:rsidR="00B47A52">
        <w:rPr>
          <w:rFonts w:eastAsia="Calibri" w:cs="Calibri"/>
        </w:rPr>
        <w:t>ai</w:t>
      </w:r>
      <w:r w:rsidRPr="00307753">
        <w:rPr>
          <w:rFonts w:eastAsia="Calibri" w:cs="Calibri"/>
        </w:rPr>
        <w:t>nt from a publisher</w:t>
      </w:r>
      <w:r w:rsidR="00E64B1A" w:rsidRPr="00307753">
        <w:rPr>
          <w:rFonts w:eastAsia="Calibri" w:cs="Calibri"/>
        </w:rPr>
        <w:t>.</w:t>
      </w:r>
    </w:p>
    <w:p w14:paraId="25D8E9AC" w14:textId="47A0A842" w:rsidR="00F94AC4" w:rsidRPr="00307753" w:rsidRDefault="0006699F" w:rsidP="00F94AC4">
      <w:hyperlink w:anchor="_Appendix_E_" w:history="1">
        <w:r w:rsidR="004A1847" w:rsidRPr="00307753">
          <w:rPr>
            <w:rStyle w:val="Hyperlink"/>
          </w:rPr>
          <w:t xml:space="preserve">Appendix </w:t>
        </w:r>
        <w:r w:rsidR="00271130" w:rsidRPr="00307753">
          <w:rPr>
            <w:rStyle w:val="Hyperlink"/>
          </w:rPr>
          <w:t>E</w:t>
        </w:r>
        <w:r w:rsidR="004A1847" w:rsidRPr="00307753">
          <w:rPr>
            <w:rStyle w:val="Hyperlink"/>
          </w:rPr>
          <w:t>: Process Challenge</w:t>
        </w:r>
        <w:r w:rsidR="00E13344">
          <w:rPr>
            <w:rStyle w:val="Hyperlink"/>
          </w:rPr>
          <w:t>s Note</w:t>
        </w:r>
        <w:r w:rsidR="004A1847" w:rsidRPr="00307753">
          <w:rPr>
            <w:rStyle w:val="Hyperlink"/>
          </w:rPr>
          <w:t>s</w:t>
        </w:r>
      </w:hyperlink>
    </w:p>
    <w:p w14:paraId="67A69E14" w14:textId="14C4D235" w:rsidR="0C6E0461" w:rsidRPr="00307753" w:rsidRDefault="000641CF" w:rsidP="00547ED4">
      <w:pPr>
        <w:pStyle w:val="Heading1"/>
        <w:rPr>
          <w:rFonts w:asciiTheme="minorHAnsi" w:hAnsiTheme="minorHAnsi"/>
        </w:rPr>
      </w:pPr>
      <w:bookmarkStart w:id="11" w:name="_Toc65071792"/>
      <w:r w:rsidRPr="00307753">
        <w:rPr>
          <w:rFonts w:asciiTheme="minorHAnsi" w:hAnsiTheme="minorHAnsi"/>
        </w:rPr>
        <w:t>4</w:t>
      </w:r>
      <w:r w:rsidR="00CE4239" w:rsidRPr="00307753">
        <w:rPr>
          <w:rFonts w:asciiTheme="minorHAnsi" w:hAnsiTheme="minorHAnsi"/>
        </w:rPr>
        <w:tab/>
      </w:r>
      <w:r w:rsidR="18908708" w:rsidRPr="00307753">
        <w:rPr>
          <w:rFonts w:asciiTheme="minorHAnsi" w:hAnsiTheme="minorHAnsi"/>
        </w:rPr>
        <w:t>Advocacy and Training</w:t>
      </w:r>
      <w:bookmarkEnd w:id="11"/>
      <w:r w:rsidR="18908708" w:rsidRPr="00307753">
        <w:rPr>
          <w:rFonts w:asciiTheme="minorHAnsi" w:hAnsiTheme="minorHAnsi"/>
        </w:rPr>
        <w:t xml:space="preserve"> </w:t>
      </w:r>
    </w:p>
    <w:p w14:paraId="1025A14F" w14:textId="5C39F0D3" w:rsidR="00247A54" w:rsidRPr="00307753" w:rsidRDefault="00247A54" w:rsidP="004D69DC">
      <w:r w:rsidRPr="00307753">
        <w:t xml:space="preserve">The RSC and RO undertake </w:t>
      </w:r>
      <w:r w:rsidR="00880B11" w:rsidRPr="00307753">
        <w:t>regu</w:t>
      </w:r>
      <w:r w:rsidR="00A55E37" w:rsidRPr="00307753">
        <w:t xml:space="preserve">lar </w:t>
      </w:r>
      <w:r w:rsidR="00880B11" w:rsidRPr="00307753">
        <w:t xml:space="preserve">open access </w:t>
      </w:r>
      <w:r w:rsidRPr="00307753">
        <w:t>advocacy and training for authors, managers and administrators.</w:t>
      </w:r>
    </w:p>
    <w:p w14:paraId="6305E4CB" w14:textId="44D33C84" w:rsidR="0C6E0461" w:rsidRPr="00307753" w:rsidRDefault="0003747F" w:rsidP="0003747F">
      <w:pPr>
        <w:pStyle w:val="Heading2"/>
        <w:rPr>
          <w:rFonts w:asciiTheme="minorHAnsi" w:eastAsia="Calibri" w:hAnsiTheme="minorHAnsi"/>
        </w:rPr>
      </w:pPr>
      <w:bookmarkStart w:id="12" w:name="_Toc65071793"/>
      <w:r w:rsidRPr="00307753">
        <w:rPr>
          <w:rFonts w:asciiTheme="minorHAnsi" w:eastAsia="Calibri" w:hAnsiTheme="minorHAnsi"/>
        </w:rPr>
        <w:t>4.1 for</w:t>
      </w:r>
      <w:r w:rsidR="0C6E0461" w:rsidRPr="00307753">
        <w:rPr>
          <w:rFonts w:asciiTheme="minorHAnsi" w:eastAsia="Calibri" w:hAnsiTheme="minorHAnsi"/>
        </w:rPr>
        <w:t xml:space="preserve"> Authors</w:t>
      </w:r>
      <w:bookmarkEnd w:id="12"/>
    </w:p>
    <w:p w14:paraId="2AEF8F2A" w14:textId="35D365A6" w:rsidR="0C6E0461" w:rsidRPr="00307753" w:rsidRDefault="18908708" w:rsidP="18908708">
      <w:pPr>
        <w:pStyle w:val="ListParagraph"/>
        <w:numPr>
          <w:ilvl w:val="0"/>
          <w:numId w:val="4"/>
        </w:numPr>
        <w:spacing w:before="120" w:after="120"/>
      </w:pPr>
      <w:r w:rsidRPr="00307753">
        <w:rPr>
          <w:rFonts w:eastAsia="Calibri" w:cs="Calibri"/>
        </w:rPr>
        <w:t>small group training for new users in the use of RIS with an emphasis on the benefits of OA for all output types</w:t>
      </w:r>
    </w:p>
    <w:p w14:paraId="53F61B4A" w14:textId="278F1D41" w:rsidR="0C6E0461" w:rsidRPr="00307753" w:rsidRDefault="18908708" w:rsidP="18908708">
      <w:pPr>
        <w:pStyle w:val="ListParagraph"/>
        <w:numPr>
          <w:ilvl w:val="0"/>
          <w:numId w:val="4"/>
        </w:numPr>
        <w:spacing w:before="120" w:after="120"/>
      </w:pPr>
      <w:r w:rsidRPr="00307753">
        <w:rPr>
          <w:rFonts w:eastAsia="Calibri" w:cs="Calibri"/>
        </w:rPr>
        <w:t xml:space="preserve">one to one advice and refresher </w:t>
      </w:r>
      <w:hyperlink r:id="rId22" w:history="1">
        <w:r w:rsidRPr="00307753">
          <w:rPr>
            <w:rStyle w:val="Hyperlink"/>
            <w:rFonts w:eastAsia="Calibri" w:cs="Calibri"/>
          </w:rPr>
          <w:t>training on demand</w:t>
        </w:r>
      </w:hyperlink>
    </w:p>
    <w:p w14:paraId="64216CD6" w14:textId="57692EAD" w:rsidR="18908708" w:rsidRPr="00307753" w:rsidRDefault="18908708" w:rsidP="18908708">
      <w:pPr>
        <w:pStyle w:val="ListParagraph"/>
        <w:numPr>
          <w:ilvl w:val="0"/>
          <w:numId w:val="4"/>
        </w:numPr>
        <w:spacing w:before="120" w:after="120"/>
      </w:pPr>
      <w:r w:rsidRPr="00307753">
        <w:rPr>
          <w:rFonts w:eastAsia="Calibri" w:cs="Calibri"/>
        </w:rPr>
        <w:t xml:space="preserve">continuing advice and feedback via research output curation, one to one </w:t>
      </w:r>
      <w:proofErr w:type="gramStart"/>
      <w:r w:rsidR="001867E4" w:rsidRPr="00307753">
        <w:rPr>
          <w:rFonts w:eastAsia="Calibri" w:cs="Calibri"/>
        </w:rPr>
        <w:t>intervention</w:t>
      </w:r>
      <w:r w:rsidR="003203D4">
        <w:rPr>
          <w:rFonts w:eastAsia="Calibri" w:cs="Calibri"/>
        </w:rPr>
        <w:t>s</w:t>
      </w:r>
      <w:proofErr w:type="gramEnd"/>
      <w:r w:rsidRPr="00307753">
        <w:rPr>
          <w:rFonts w:eastAsia="Calibri" w:cs="Calibri"/>
        </w:rPr>
        <w:t xml:space="preserve"> </w:t>
      </w:r>
      <w:r w:rsidR="00922DB4" w:rsidRPr="00307753">
        <w:rPr>
          <w:rFonts w:eastAsia="Calibri" w:cs="Calibri"/>
        </w:rPr>
        <w:t>for</w:t>
      </w:r>
      <w:r w:rsidRPr="00307753">
        <w:rPr>
          <w:rFonts w:eastAsia="Calibri" w:cs="Calibri"/>
        </w:rPr>
        <w:t xml:space="preserve"> authors displaying difficulty</w:t>
      </w:r>
    </w:p>
    <w:p w14:paraId="7983F47D" w14:textId="1913BBA5" w:rsidR="0C6E0461" w:rsidRPr="00307753" w:rsidRDefault="0C6E0461" w:rsidP="0C6E0461">
      <w:pPr>
        <w:pStyle w:val="ListParagraph"/>
        <w:numPr>
          <w:ilvl w:val="0"/>
          <w:numId w:val="4"/>
        </w:numPr>
        <w:spacing w:before="120" w:after="120"/>
      </w:pPr>
      <w:r w:rsidRPr="00307753">
        <w:rPr>
          <w:rFonts w:eastAsia="Calibri" w:cs="Calibri"/>
        </w:rPr>
        <w:t xml:space="preserve">seminars on </w:t>
      </w:r>
      <w:r w:rsidR="00247A54" w:rsidRPr="00307753">
        <w:rPr>
          <w:rFonts w:eastAsia="Calibri" w:cs="Calibri"/>
        </w:rPr>
        <w:t xml:space="preserve">the university’s </w:t>
      </w:r>
      <w:r w:rsidRPr="00307753">
        <w:rPr>
          <w:rFonts w:eastAsia="Calibri" w:cs="Calibri"/>
        </w:rPr>
        <w:t xml:space="preserve">Post Graduate Researcher training </w:t>
      </w:r>
      <w:proofErr w:type="spellStart"/>
      <w:r w:rsidRPr="00307753">
        <w:rPr>
          <w:rFonts w:eastAsia="Calibri" w:cs="Calibri"/>
        </w:rPr>
        <w:t>programme</w:t>
      </w:r>
      <w:proofErr w:type="spellEnd"/>
      <w:r w:rsidRPr="00307753">
        <w:rPr>
          <w:rFonts w:eastAsia="Calibri" w:cs="Calibri"/>
        </w:rPr>
        <w:t xml:space="preserve"> (also open to staff)</w:t>
      </w:r>
    </w:p>
    <w:p w14:paraId="17C56393" w14:textId="1B397096" w:rsidR="0C6E0461" w:rsidRPr="00307753" w:rsidRDefault="0C6E0461" w:rsidP="0C6E0461">
      <w:pPr>
        <w:pStyle w:val="ListParagraph"/>
        <w:numPr>
          <w:ilvl w:val="0"/>
          <w:numId w:val="4"/>
        </w:numPr>
        <w:spacing w:before="120" w:after="120"/>
      </w:pPr>
      <w:r w:rsidRPr="00307753">
        <w:rPr>
          <w:rFonts w:eastAsia="Calibri" w:cs="Calibri"/>
        </w:rPr>
        <w:t xml:space="preserve">refresher training and </w:t>
      </w:r>
      <w:hyperlink r:id="rId23" w:history="1">
        <w:r w:rsidRPr="00307753">
          <w:rPr>
            <w:rStyle w:val="Hyperlink"/>
            <w:rFonts w:eastAsia="Calibri" w:cs="Calibri"/>
          </w:rPr>
          <w:t xml:space="preserve">OA </w:t>
        </w:r>
        <w:r w:rsidR="00922DB4" w:rsidRPr="00307753">
          <w:rPr>
            <w:rStyle w:val="Hyperlink"/>
            <w:rFonts w:eastAsia="Calibri" w:cs="Calibri"/>
          </w:rPr>
          <w:t>focus</w:t>
        </w:r>
        <w:r w:rsidRPr="00307753">
          <w:rPr>
            <w:rStyle w:val="Hyperlink"/>
            <w:rFonts w:eastAsia="Calibri" w:cs="Calibri"/>
          </w:rPr>
          <w:t xml:space="preserve"> sessions</w:t>
        </w:r>
      </w:hyperlink>
      <w:r w:rsidRPr="00307753">
        <w:rPr>
          <w:rFonts w:eastAsia="Calibri" w:cs="Calibri"/>
        </w:rPr>
        <w:t xml:space="preserve"> for research groups and research centres </w:t>
      </w:r>
    </w:p>
    <w:p w14:paraId="17BC5A06" w14:textId="385BB083" w:rsidR="0C6E0461" w:rsidRPr="00307753" w:rsidRDefault="0C6E0461" w:rsidP="0C6E0461">
      <w:pPr>
        <w:pStyle w:val="ListParagraph"/>
        <w:numPr>
          <w:ilvl w:val="0"/>
          <w:numId w:val="4"/>
        </w:numPr>
        <w:spacing w:before="120" w:after="120"/>
      </w:pPr>
      <w:r w:rsidRPr="00307753">
        <w:rPr>
          <w:rFonts w:eastAsia="Calibri" w:cs="Calibri"/>
        </w:rPr>
        <w:t xml:space="preserve">updates and policy news in a regular newsletter to staff, </w:t>
      </w:r>
      <w:proofErr w:type="spellStart"/>
      <w:r w:rsidRPr="00307753">
        <w:rPr>
          <w:rFonts w:eastAsia="Calibri" w:cs="Calibri"/>
        </w:rPr>
        <w:t>co-ordinated</w:t>
      </w:r>
      <w:proofErr w:type="spellEnd"/>
      <w:r w:rsidRPr="00307753">
        <w:rPr>
          <w:rFonts w:eastAsia="Calibri" w:cs="Calibri"/>
        </w:rPr>
        <w:t xml:space="preserve"> with:</w:t>
      </w:r>
    </w:p>
    <w:p w14:paraId="7A4A523D" w14:textId="7A1CD8B9" w:rsidR="0C6E0461" w:rsidRPr="00307753" w:rsidRDefault="0006699F" w:rsidP="004D69DC">
      <w:pPr>
        <w:pStyle w:val="ListParagraph"/>
        <w:numPr>
          <w:ilvl w:val="1"/>
          <w:numId w:val="4"/>
        </w:numPr>
        <w:spacing w:before="120" w:after="120"/>
      </w:pPr>
      <w:hyperlink r:id="rId24" w:history="1">
        <w:r w:rsidR="00C64881" w:rsidRPr="00307753">
          <w:rPr>
            <w:rStyle w:val="Hyperlink"/>
          </w:rPr>
          <w:t xml:space="preserve">scholarly communications </w:t>
        </w:r>
        <w:proofErr w:type="spellStart"/>
        <w:r w:rsidR="00B642FD">
          <w:rPr>
            <w:rStyle w:val="Hyperlink"/>
            <w:rFonts w:eastAsia="Calibri" w:cs="Calibri"/>
          </w:rPr>
          <w:t>H</w:t>
        </w:r>
        <w:r w:rsidR="00FB0001" w:rsidRPr="00307753">
          <w:rPr>
            <w:rStyle w:val="Hyperlink"/>
            <w:rFonts w:eastAsia="Calibri" w:cs="Calibri"/>
          </w:rPr>
          <w:t>erts</w:t>
        </w:r>
        <w:r w:rsidR="00B642FD">
          <w:rPr>
            <w:rStyle w:val="Hyperlink"/>
            <w:rFonts w:eastAsia="Calibri" w:cs="Calibri"/>
          </w:rPr>
          <w:t>H</w:t>
        </w:r>
        <w:r w:rsidR="00FB0001" w:rsidRPr="00307753">
          <w:rPr>
            <w:rStyle w:val="Hyperlink"/>
            <w:rFonts w:eastAsia="Calibri" w:cs="Calibri"/>
          </w:rPr>
          <w:t>ub</w:t>
        </w:r>
        <w:proofErr w:type="spellEnd"/>
        <w:r w:rsidR="0C6E0461" w:rsidRPr="00307753">
          <w:rPr>
            <w:rStyle w:val="Hyperlink"/>
            <w:rFonts w:eastAsia="Calibri" w:cs="Calibri"/>
          </w:rPr>
          <w:t xml:space="preserve"> pages</w:t>
        </w:r>
      </w:hyperlink>
      <w:r w:rsidR="0C6E0461" w:rsidRPr="00307753">
        <w:rPr>
          <w:rFonts w:eastAsia="Calibri" w:cs="Calibri"/>
        </w:rPr>
        <w:t xml:space="preserve"> addressing key elements of OA: overview; Green and Gold; licensing; APC funding and applications; REF policy requirements; predatory </w:t>
      </w:r>
      <w:r w:rsidR="006503B2" w:rsidRPr="00307753">
        <w:rPr>
          <w:rFonts w:eastAsia="Calibri" w:cs="Calibri"/>
        </w:rPr>
        <w:t>publishing.</w:t>
      </w:r>
      <w:r w:rsidR="00E24738" w:rsidRPr="00307753">
        <w:rPr>
          <w:rFonts w:eastAsia="Calibri" w:cs="Calibri"/>
        </w:rPr>
        <w:t xml:space="preserve"> </w:t>
      </w:r>
    </w:p>
    <w:p w14:paraId="39F272CD" w14:textId="6C636620" w:rsidR="00B05962" w:rsidRPr="00307753" w:rsidRDefault="0C6E0461" w:rsidP="00B05962">
      <w:pPr>
        <w:pStyle w:val="ListParagraph"/>
        <w:numPr>
          <w:ilvl w:val="0"/>
          <w:numId w:val="4"/>
        </w:numPr>
        <w:spacing w:before="120" w:after="120"/>
      </w:pPr>
      <w:r w:rsidRPr="00307753">
        <w:rPr>
          <w:rFonts w:eastAsia="Calibri" w:cs="Calibri"/>
        </w:rPr>
        <w:t>reminders of REF OA policy requirements via consistent use of email signatures</w:t>
      </w:r>
    </w:p>
    <w:p w14:paraId="631B50EE" w14:textId="2789D252" w:rsidR="0C6E0461" w:rsidRPr="00307753" w:rsidRDefault="0C6E0461" w:rsidP="008949F4">
      <w:pPr>
        <w:pStyle w:val="ListParagraph"/>
        <w:numPr>
          <w:ilvl w:val="0"/>
          <w:numId w:val="4"/>
        </w:numPr>
        <w:spacing w:before="120" w:after="120"/>
      </w:pPr>
      <w:r w:rsidRPr="00307753">
        <w:rPr>
          <w:rFonts w:eastAsia="Calibri" w:cs="Calibri"/>
        </w:rPr>
        <w:t xml:space="preserve">Open Access week events and surgeries.  </w:t>
      </w:r>
    </w:p>
    <w:p w14:paraId="07C48369" w14:textId="491CF0EA" w:rsidR="0C6E0461" w:rsidRPr="00307753" w:rsidRDefault="0003747F" w:rsidP="0003747F">
      <w:pPr>
        <w:pStyle w:val="Heading2"/>
        <w:rPr>
          <w:rFonts w:asciiTheme="minorHAnsi" w:eastAsia="Calibri" w:hAnsiTheme="minorHAnsi"/>
        </w:rPr>
      </w:pPr>
      <w:bookmarkStart w:id="13" w:name="_Toc65071794"/>
      <w:r w:rsidRPr="00307753">
        <w:rPr>
          <w:rFonts w:asciiTheme="minorHAnsi" w:eastAsia="Calibri" w:hAnsiTheme="minorHAnsi"/>
        </w:rPr>
        <w:t xml:space="preserve">4.2 </w:t>
      </w:r>
      <w:r w:rsidR="0035118D" w:rsidRPr="00307753">
        <w:rPr>
          <w:rFonts w:asciiTheme="minorHAnsi" w:eastAsia="Calibri" w:hAnsiTheme="minorHAnsi"/>
        </w:rPr>
        <w:t>f</w:t>
      </w:r>
      <w:r w:rsidR="18908708" w:rsidRPr="00307753">
        <w:rPr>
          <w:rFonts w:asciiTheme="minorHAnsi" w:eastAsia="Calibri" w:hAnsiTheme="minorHAnsi"/>
        </w:rPr>
        <w:t xml:space="preserve">or </w:t>
      </w:r>
      <w:r w:rsidR="0035118D" w:rsidRPr="00307753">
        <w:rPr>
          <w:rFonts w:asciiTheme="minorHAnsi" w:eastAsia="Calibri" w:hAnsiTheme="minorHAnsi"/>
        </w:rPr>
        <w:t>Research M</w:t>
      </w:r>
      <w:r w:rsidR="18908708" w:rsidRPr="00307753">
        <w:rPr>
          <w:rFonts w:asciiTheme="minorHAnsi" w:eastAsia="Calibri" w:hAnsiTheme="minorHAnsi"/>
        </w:rPr>
        <w:t>anage</w:t>
      </w:r>
      <w:r w:rsidR="0035118D" w:rsidRPr="00307753">
        <w:rPr>
          <w:rFonts w:asciiTheme="minorHAnsi" w:eastAsia="Calibri" w:hAnsiTheme="minorHAnsi"/>
        </w:rPr>
        <w:t>ment</w:t>
      </w:r>
      <w:bookmarkEnd w:id="13"/>
    </w:p>
    <w:p w14:paraId="2BA15209" w14:textId="19B0243C" w:rsidR="18908708" w:rsidRPr="00307753" w:rsidRDefault="18908708" w:rsidP="18908708">
      <w:pPr>
        <w:pStyle w:val="ListParagraph"/>
        <w:numPr>
          <w:ilvl w:val="0"/>
          <w:numId w:val="3"/>
        </w:numPr>
        <w:spacing w:before="120" w:after="120"/>
      </w:pPr>
      <w:r w:rsidRPr="00307753">
        <w:rPr>
          <w:rFonts w:eastAsia="Calibri" w:cs="Calibri"/>
        </w:rPr>
        <w:t>Regular reports and specific operation</w:t>
      </w:r>
      <w:r w:rsidR="00EE4438" w:rsidRPr="00307753">
        <w:rPr>
          <w:rFonts w:eastAsia="Calibri" w:cs="Calibri"/>
        </w:rPr>
        <w:t>al</w:t>
      </w:r>
      <w:r w:rsidRPr="00307753">
        <w:rPr>
          <w:rFonts w:eastAsia="Calibri" w:cs="Calibri"/>
        </w:rPr>
        <w:t xml:space="preserve"> issue papers to Pro Vice-Chancellor's Research Management Group</w:t>
      </w:r>
      <w:r w:rsidR="00CF0152" w:rsidRPr="00307753">
        <w:rPr>
          <w:rFonts w:eastAsia="Calibri" w:cs="Calibri"/>
        </w:rPr>
        <w:t xml:space="preserve"> (PRMG)</w:t>
      </w:r>
    </w:p>
    <w:p w14:paraId="793B1844" w14:textId="7CB6E2BA" w:rsidR="18908708" w:rsidRPr="00307753" w:rsidRDefault="18908708" w:rsidP="18908708">
      <w:pPr>
        <w:pStyle w:val="ListParagraph"/>
        <w:numPr>
          <w:ilvl w:val="0"/>
          <w:numId w:val="3"/>
        </w:numPr>
        <w:spacing w:before="120" w:after="120"/>
      </w:pPr>
      <w:r w:rsidRPr="00307753">
        <w:rPr>
          <w:rFonts w:eastAsia="Calibri" w:cs="Calibri"/>
        </w:rPr>
        <w:t>Regular reports and specific strategic issue papers to University Research Committee</w:t>
      </w:r>
    </w:p>
    <w:p w14:paraId="5ED3CA41" w14:textId="2D9E7285" w:rsidR="002E0479" w:rsidRPr="00307753" w:rsidRDefault="002E0479" w:rsidP="002E0479">
      <w:pPr>
        <w:pStyle w:val="ListParagraph"/>
        <w:numPr>
          <w:ilvl w:val="0"/>
          <w:numId w:val="3"/>
        </w:numPr>
        <w:spacing w:before="120" w:after="120"/>
      </w:pPr>
      <w:r w:rsidRPr="00307753">
        <w:rPr>
          <w:rFonts w:eastAsia="Calibri" w:cs="Calibri"/>
        </w:rPr>
        <w:t>OA briefings for school management and Vice-Chancellor's group</w:t>
      </w:r>
    </w:p>
    <w:p w14:paraId="6F84E403" w14:textId="7AA6F3F9" w:rsidR="0003747F" w:rsidRPr="00307753" w:rsidRDefault="0003747F" w:rsidP="0035118D">
      <w:pPr>
        <w:pStyle w:val="Heading2"/>
        <w:rPr>
          <w:rFonts w:asciiTheme="minorHAnsi" w:eastAsia="Calibri" w:hAnsiTheme="minorHAnsi"/>
        </w:rPr>
      </w:pPr>
      <w:bookmarkStart w:id="14" w:name="_Toc65071795"/>
      <w:r w:rsidRPr="00307753">
        <w:rPr>
          <w:rFonts w:asciiTheme="minorHAnsi" w:eastAsia="Calibri" w:hAnsiTheme="minorHAnsi"/>
        </w:rPr>
        <w:t xml:space="preserve">4.3 </w:t>
      </w:r>
      <w:r w:rsidR="0035118D" w:rsidRPr="00307753">
        <w:rPr>
          <w:rFonts w:asciiTheme="minorHAnsi" w:eastAsia="Calibri" w:hAnsiTheme="minorHAnsi"/>
        </w:rPr>
        <w:t>f</w:t>
      </w:r>
      <w:r w:rsidR="18908708" w:rsidRPr="00307753">
        <w:rPr>
          <w:rFonts w:asciiTheme="minorHAnsi" w:eastAsia="Calibri" w:hAnsiTheme="minorHAnsi"/>
        </w:rPr>
        <w:t>or Administrators:</w:t>
      </w:r>
      <w:bookmarkEnd w:id="14"/>
      <w:r w:rsidR="18908708" w:rsidRPr="00307753">
        <w:rPr>
          <w:rFonts w:asciiTheme="minorHAnsi" w:eastAsia="Calibri" w:hAnsiTheme="minorHAnsi"/>
        </w:rPr>
        <w:t xml:space="preserve"> </w:t>
      </w:r>
    </w:p>
    <w:p w14:paraId="5D4818E8" w14:textId="2479933C" w:rsidR="00B048D0" w:rsidRPr="00307753" w:rsidRDefault="18908708" w:rsidP="0003747F">
      <w:pPr>
        <w:spacing w:before="120" w:after="120"/>
        <w:rPr>
          <w:rFonts w:eastAsia="Calibri" w:cs="Calibri"/>
        </w:rPr>
      </w:pPr>
      <w:r w:rsidRPr="00307753">
        <w:rPr>
          <w:rFonts w:eastAsia="Calibri" w:cs="Calibri"/>
        </w:rPr>
        <w:t xml:space="preserve">New members of </w:t>
      </w:r>
      <w:r w:rsidR="001F7552" w:rsidRPr="00307753">
        <w:rPr>
          <w:rFonts w:eastAsia="Calibri" w:cs="Calibri"/>
        </w:rPr>
        <w:t>the RSC team</w:t>
      </w:r>
      <w:r w:rsidRPr="00307753">
        <w:rPr>
          <w:rFonts w:eastAsia="Calibri" w:cs="Calibri"/>
        </w:rPr>
        <w:t xml:space="preserve"> are trained by knowledge transfer, and best practice is continually reviewed by the whole team</w:t>
      </w:r>
      <w:r w:rsidR="001E6AA1" w:rsidRPr="00307753">
        <w:rPr>
          <w:rFonts w:eastAsia="Calibri" w:cs="Calibri"/>
        </w:rPr>
        <w:t>,</w:t>
      </w:r>
      <w:r w:rsidRPr="00307753">
        <w:rPr>
          <w:rFonts w:eastAsia="Calibri" w:cs="Calibri"/>
        </w:rPr>
        <w:t xml:space="preserve"> with reference to funder policy guidance updates and </w:t>
      </w:r>
      <w:r w:rsidR="007D70B6" w:rsidRPr="00307753">
        <w:rPr>
          <w:rFonts w:eastAsia="Calibri" w:cs="Calibri"/>
        </w:rPr>
        <w:t>discourse within the UK</w:t>
      </w:r>
      <w:r w:rsidRPr="00307753">
        <w:rPr>
          <w:rFonts w:eastAsia="Calibri" w:cs="Calibri"/>
        </w:rPr>
        <w:t xml:space="preserve"> scholarly communications community.</w:t>
      </w:r>
      <w:r w:rsidR="001E6AA1" w:rsidRPr="00307753">
        <w:rPr>
          <w:rFonts w:eastAsia="Calibri" w:cs="Calibri"/>
        </w:rPr>
        <w:t xml:space="preserve"> </w:t>
      </w:r>
    </w:p>
    <w:p w14:paraId="67122DDA" w14:textId="41AF746E" w:rsidR="0003747F" w:rsidRPr="00307753" w:rsidRDefault="0003747F" w:rsidP="0003747F">
      <w:pPr>
        <w:spacing w:before="120" w:after="120"/>
        <w:rPr>
          <w:rFonts w:eastAsia="Calibri" w:cs="Calibri"/>
        </w:rPr>
      </w:pPr>
      <w:r w:rsidRPr="00307753">
        <w:rPr>
          <w:rFonts w:eastAsia="Calibri" w:cs="Calibri"/>
        </w:rPr>
        <w:t xml:space="preserve">There are a small </w:t>
      </w:r>
      <w:r w:rsidR="00BD3135" w:rsidRPr="00307753">
        <w:rPr>
          <w:rFonts w:eastAsia="Calibri" w:cs="Calibri"/>
        </w:rPr>
        <w:t xml:space="preserve">number of </w:t>
      </w:r>
      <w:r w:rsidR="00864BD4" w:rsidRPr="00307753">
        <w:rPr>
          <w:rFonts w:eastAsia="Calibri" w:cs="Calibri"/>
        </w:rPr>
        <w:t>administrators</w:t>
      </w:r>
      <w:r w:rsidR="00BD3135" w:rsidRPr="00307753">
        <w:rPr>
          <w:rFonts w:eastAsia="Calibri" w:cs="Calibri"/>
        </w:rPr>
        <w:t xml:space="preserve"> in schools who </w:t>
      </w:r>
      <w:r w:rsidR="00AF28E2" w:rsidRPr="00307753">
        <w:rPr>
          <w:rFonts w:eastAsia="Calibri" w:cs="Calibri"/>
        </w:rPr>
        <w:t>add content</w:t>
      </w:r>
      <w:r w:rsidR="00BD3135" w:rsidRPr="00307753">
        <w:rPr>
          <w:rFonts w:eastAsia="Calibri" w:cs="Calibri"/>
        </w:rPr>
        <w:t xml:space="preserve"> </w:t>
      </w:r>
      <w:r w:rsidR="0021562E" w:rsidRPr="00307753">
        <w:rPr>
          <w:rFonts w:eastAsia="Calibri" w:cs="Calibri"/>
        </w:rPr>
        <w:t>on behalf of senior or visiting res</w:t>
      </w:r>
      <w:r w:rsidR="00AF28E2" w:rsidRPr="00307753">
        <w:rPr>
          <w:rFonts w:eastAsia="Calibri" w:cs="Calibri"/>
        </w:rPr>
        <w:t xml:space="preserve">earchers. We offer one to one </w:t>
      </w:r>
      <w:r w:rsidR="00712381" w:rsidRPr="00307753">
        <w:rPr>
          <w:rFonts w:eastAsia="Calibri" w:cs="Calibri"/>
        </w:rPr>
        <w:t xml:space="preserve">user training specific to </w:t>
      </w:r>
      <w:r w:rsidR="00316EC4" w:rsidRPr="00307753">
        <w:rPr>
          <w:rFonts w:eastAsia="Calibri" w:cs="Calibri"/>
        </w:rPr>
        <w:t>their</w:t>
      </w:r>
      <w:r w:rsidR="00712381" w:rsidRPr="00307753">
        <w:rPr>
          <w:rFonts w:eastAsia="Calibri" w:cs="Calibri"/>
        </w:rPr>
        <w:t xml:space="preserve"> local context. </w:t>
      </w:r>
    </w:p>
    <w:p w14:paraId="5D24564B" w14:textId="4E09284D" w:rsidR="00626E14" w:rsidRPr="00307753" w:rsidRDefault="00715B3E" w:rsidP="00626E14">
      <w:pPr>
        <w:pStyle w:val="Heading1"/>
        <w:rPr>
          <w:rFonts w:asciiTheme="minorHAnsi" w:hAnsiTheme="minorHAnsi"/>
        </w:rPr>
      </w:pPr>
      <w:bookmarkStart w:id="15" w:name="_Toc65071796"/>
      <w:r w:rsidRPr="00307753">
        <w:rPr>
          <w:rFonts w:asciiTheme="minorHAnsi" w:hAnsiTheme="minorHAnsi"/>
        </w:rPr>
        <w:t>5</w:t>
      </w:r>
      <w:r w:rsidR="00CE4239" w:rsidRPr="00307753">
        <w:rPr>
          <w:rFonts w:asciiTheme="minorHAnsi" w:hAnsiTheme="minorHAnsi"/>
        </w:rPr>
        <w:tab/>
      </w:r>
      <w:r w:rsidR="00626E14" w:rsidRPr="00307753">
        <w:rPr>
          <w:rFonts w:asciiTheme="minorHAnsi" w:hAnsiTheme="minorHAnsi"/>
        </w:rPr>
        <w:t>Monitoring and Reporting</w:t>
      </w:r>
      <w:bookmarkEnd w:id="15"/>
    </w:p>
    <w:p w14:paraId="2A108EB0" w14:textId="59DE9B03" w:rsidR="00836622" w:rsidRPr="00307753" w:rsidRDefault="00626E14" w:rsidP="00626E14">
      <w:pPr>
        <w:spacing w:before="120" w:after="120"/>
        <w:rPr>
          <w:rFonts w:eastAsia="Calibri" w:cs="Calibri"/>
        </w:rPr>
      </w:pPr>
      <w:r w:rsidRPr="00307753">
        <w:rPr>
          <w:rFonts w:eastAsia="Calibri" w:cs="Calibri"/>
        </w:rPr>
        <w:t>RIS offers</w:t>
      </w:r>
      <w:r w:rsidR="008C2B77" w:rsidRPr="00307753">
        <w:rPr>
          <w:rFonts w:eastAsia="Calibri" w:cs="Calibri"/>
        </w:rPr>
        <w:t xml:space="preserve"> a </w:t>
      </w:r>
      <w:r w:rsidRPr="00307753">
        <w:rPr>
          <w:rFonts w:eastAsia="Calibri" w:cs="Calibri"/>
        </w:rPr>
        <w:t xml:space="preserve">reporting </w:t>
      </w:r>
      <w:r w:rsidR="00D23568" w:rsidRPr="00307753">
        <w:rPr>
          <w:rFonts w:eastAsia="Calibri" w:cs="Calibri"/>
        </w:rPr>
        <w:t xml:space="preserve">module </w:t>
      </w:r>
      <w:r w:rsidRPr="00307753">
        <w:rPr>
          <w:rFonts w:eastAsia="Calibri" w:cs="Calibri"/>
        </w:rPr>
        <w:t xml:space="preserve">that </w:t>
      </w:r>
      <w:r w:rsidR="00356588" w:rsidRPr="00307753">
        <w:rPr>
          <w:rFonts w:eastAsia="Calibri" w:cs="Calibri"/>
        </w:rPr>
        <w:t>covers all aspects of workflow</w:t>
      </w:r>
      <w:r w:rsidR="001D345D" w:rsidRPr="00307753">
        <w:rPr>
          <w:rFonts w:eastAsia="Calibri" w:cs="Calibri"/>
        </w:rPr>
        <w:t xml:space="preserve"> and content.</w:t>
      </w:r>
      <w:r w:rsidR="00776EC3" w:rsidRPr="00307753">
        <w:rPr>
          <w:rFonts w:eastAsia="Calibri" w:cs="Calibri"/>
        </w:rPr>
        <w:t xml:space="preserve"> </w:t>
      </w:r>
      <w:r w:rsidR="00930916" w:rsidRPr="00307753">
        <w:rPr>
          <w:rFonts w:eastAsia="Calibri" w:cs="Calibri"/>
        </w:rPr>
        <w:t>Repo</w:t>
      </w:r>
      <w:r w:rsidR="00E43BBF" w:rsidRPr="00307753">
        <w:rPr>
          <w:rFonts w:eastAsia="Calibri" w:cs="Calibri"/>
        </w:rPr>
        <w:t xml:space="preserve">rts are designed and scheduled for </w:t>
      </w:r>
      <w:r w:rsidR="00961552" w:rsidRPr="00307753">
        <w:rPr>
          <w:rFonts w:eastAsia="Calibri" w:cs="Calibri"/>
        </w:rPr>
        <w:t>regular</w:t>
      </w:r>
      <w:r w:rsidR="00E43BBF" w:rsidRPr="00307753">
        <w:rPr>
          <w:rFonts w:eastAsia="Calibri" w:cs="Calibri"/>
        </w:rPr>
        <w:t xml:space="preserve"> delivery </w:t>
      </w:r>
      <w:r w:rsidR="00D43B22" w:rsidRPr="00307753">
        <w:rPr>
          <w:rFonts w:eastAsia="Calibri" w:cs="Calibri"/>
        </w:rPr>
        <w:t xml:space="preserve">by email </w:t>
      </w:r>
      <w:r w:rsidR="004B7471" w:rsidRPr="00307753">
        <w:rPr>
          <w:rFonts w:eastAsia="Calibri" w:cs="Calibri"/>
        </w:rPr>
        <w:t xml:space="preserve">to research managers. </w:t>
      </w:r>
    </w:p>
    <w:p w14:paraId="3F72B5B9" w14:textId="13EB2C14" w:rsidR="00881B3A" w:rsidRPr="00307753" w:rsidRDefault="009E5CB9" w:rsidP="00626E14">
      <w:pPr>
        <w:spacing w:before="120" w:after="120"/>
        <w:rPr>
          <w:rFonts w:eastAsia="Calibri" w:cs="Calibri"/>
        </w:rPr>
      </w:pPr>
      <w:r w:rsidRPr="00307753">
        <w:rPr>
          <w:rFonts w:eastAsia="Calibri" w:cs="Calibri"/>
        </w:rPr>
        <w:t xml:space="preserve">OA </w:t>
      </w:r>
      <w:r w:rsidR="00A1447A" w:rsidRPr="00307753">
        <w:rPr>
          <w:rFonts w:eastAsia="Calibri" w:cs="Calibri"/>
        </w:rPr>
        <w:t>status</w:t>
      </w:r>
      <w:r w:rsidR="004D5263">
        <w:rPr>
          <w:rFonts w:eastAsia="Calibri" w:cs="Calibri"/>
        </w:rPr>
        <w:t xml:space="preserve"> </w:t>
      </w:r>
      <w:r w:rsidR="00DB0CC2" w:rsidRPr="00307753">
        <w:rPr>
          <w:rFonts w:eastAsia="Calibri" w:cs="Calibri"/>
        </w:rPr>
        <w:t xml:space="preserve">is available for </w:t>
      </w:r>
      <w:r w:rsidR="00B71FD3" w:rsidRPr="00307753">
        <w:rPr>
          <w:rFonts w:eastAsia="Calibri" w:cs="Calibri"/>
        </w:rPr>
        <w:t xml:space="preserve">all </w:t>
      </w:r>
      <w:r w:rsidR="003E3971" w:rsidRPr="00307753">
        <w:rPr>
          <w:rFonts w:eastAsia="Calibri" w:cs="Calibri"/>
        </w:rPr>
        <w:t>outputs</w:t>
      </w:r>
      <w:r w:rsidR="00B71FD3" w:rsidRPr="00307753">
        <w:rPr>
          <w:rFonts w:eastAsia="Calibri" w:cs="Calibri"/>
        </w:rPr>
        <w:t xml:space="preserve"> and for aggregations </w:t>
      </w:r>
      <w:r w:rsidR="00362D7A" w:rsidRPr="00307753">
        <w:rPr>
          <w:rFonts w:eastAsia="Calibri" w:cs="Calibri"/>
        </w:rPr>
        <w:t xml:space="preserve">by period, type, author or </w:t>
      </w:r>
      <w:r w:rsidR="00B743A5" w:rsidRPr="00307753">
        <w:rPr>
          <w:rFonts w:eastAsia="Calibri" w:cs="Calibri"/>
        </w:rPr>
        <w:t xml:space="preserve">internal organization. </w:t>
      </w:r>
      <w:r w:rsidR="00362D7A" w:rsidRPr="00307753">
        <w:rPr>
          <w:rFonts w:eastAsia="Calibri" w:cs="Calibri"/>
        </w:rPr>
        <w:t xml:space="preserve"> </w:t>
      </w:r>
    </w:p>
    <w:p w14:paraId="6525E308" w14:textId="028BE024" w:rsidR="004D3917" w:rsidRPr="00307753" w:rsidRDefault="00B230B1" w:rsidP="00626E14">
      <w:pPr>
        <w:spacing w:before="120" w:after="120"/>
        <w:rPr>
          <w:rFonts w:eastAsia="Calibri" w:cs="Calibri"/>
        </w:rPr>
      </w:pPr>
      <w:r w:rsidRPr="00307753">
        <w:rPr>
          <w:rFonts w:eastAsia="Calibri" w:cs="Calibri"/>
        </w:rPr>
        <w:t>A</w:t>
      </w:r>
      <w:r w:rsidR="00881B3A" w:rsidRPr="00307753">
        <w:rPr>
          <w:rFonts w:eastAsia="Calibri" w:cs="Calibri"/>
        </w:rPr>
        <w:t xml:space="preserve"> REF2021 module </w:t>
      </w:r>
      <w:r w:rsidRPr="00307753">
        <w:rPr>
          <w:rFonts w:eastAsia="Calibri" w:cs="Calibri"/>
        </w:rPr>
        <w:t xml:space="preserve">in RIS </w:t>
      </w:r>
      <w:r w:rsidR="00881B3A" w:rsidRPr="00307753">
        <w:rPr>
          <w:rFonts w:eastAsia="Calibri" w:cs="Calibri"/>
        </w:rPr>
        <w:t xml:space="preserve">includes extensive </w:t>
      </w:r>
      <w:r w:rsidR="008F7713" w:rsidRPr="00307753">
        <w:rPr>
          <w:rFonts w:eastAsia="Calibri" w:cs="Calibri"/>
        </w:rPr>
        <w:t xml:space="preserve">tools for monitoring </w:t>
      </w:r>
      <w:r w:rsidR="00113E9A" w:rsidRPr="00307753">
        <w:rPr>
          <w:rFonts w:eastAsia="Calibri" w:cs="Calibri"/>
        </w:rPr>
        <w:t xml:space="preserve">compliance </w:t>
      </w:r>
      <w:r w:rsidR="00626C42" w:rsidRPr="00307753">
        <w:rPr>
          <w:rFonts w:eastAsia="Calibri" w:cs="Calibri"/>
        </w:rPr>
        <w:t xml:space="preserve">with </w:t>
      </w:r>
      <w:r w:rsidR="00C82D18">
        <w:rPr>
          <w:rFonts w:eastAsia="Calibri" w:cs="Calibri"/>
        </w:rPr>
        <w:t>OA</w:t>
      </w:r>
      <w:r w:rsidR="00626C42" w:rsidRPr="00307753">
        <w:rPr>
          <w:rFonts w:eastAsia="Calibri" w:cs="Calibri"/>
        </w:rPr>
        <w:t xml:space="preserve"> policy. These include a </w:t>
      </w:r>
      <w:r w:rsidR="003F28F0" w:rsidRPr="00307753">
        <w:rPr>
          <w:rFonts w:eastAsia="Calibri" w:cs="Calibri"/>
        </w:rPr>
        <w:t>REF stat</w:t>
      </w:r>
      <w:r w:rsidR="00113E9A" w:rsidRPr="00307753">
        <w:rPr>
          <w:rFonts w:eastAsia="Calibri" w:cs="Calibri"/>
        </w:rPr>
        <w:t>us</w:t>
      </w:r>
      <w:r w:rsidR="003F28F0" w:rsidRPr="00307753">
        <w:rPr>
          <w:rFonts w:eastAsia="Calibri" w:cs="Calibri"/>
        </w:rPr>
        <w:t xml:space="preserve"> section on </w:t>
      </w:r>
      <w:r w:rsidR="00113E9A" w:rsidRPr="00307753">
        <w:rPr>
          <w:rFonts w:eastAsia="Calibri" w:cs="Calibri"/>
        </w:rPr>
        <w:t xml:space="preserve">individual </w:t>
      </w:r>
      <w:r w:rsidR="003F28F0" w:rsidRPr="00307753">
        <w:rPr>
          <w:rFonts w:eastAsia="Calibri" w:cs="Calibri"/>
        </w:rPr>
        <w:t xml:space="preserve">research outputs and </w:t>
      </w:r>
      <w:r w:rsidR="00113E9A" w:rsidRPr="00307753">
        <w:rPr>
          <w:rFonts w:eastAsia="Calibri" w:cs="Calibri"/>
        </w:rPr>
        <w:t>d</w:t>
      </w:r>
      <w:r w:rsidR="003F28F0" w:rsidRPr="00307753">
        <w:rPr>
          <w:rFonts w:eastAsia="Calibri" w:cs="Calibri"/>
        </w:rPr>
        <w:t xml:space="preserve">ashboards to track compliance </w:t>
      </w:r>
      <w:r w:rsidR="00B13111" w:rsidRPr="00307753">
        <w:rPr>
          <w:rFonts w:eastAsia="Calibri" w:cs="Calibri"/>
        </w:rPr>
        <w:t xml:space="preserve">by Unit of Assessment. </w:t>
      </w:r>
    </w:p>
    <w:p w14:paraId="7CB73488" w14:textId="3B6BCB91" w:rsidR="006320CC" w:rsidRPr="00307753" w:rsidRDefault="006320CC" w:rsidP="006320CC">
      <w:pPr>
        <w:spacing w:before="120" w:after="120"/>
        <w:rPr>
          <w:rFonts w:eastAsia="Calibri" w:cs="Calibri"/>
        </w:rPr>
      </w:pPr>
      <w:r w:rsidRPr="00307753">
        <w:rPr>
          <w:rFonts w:eastAsia="Calibri" w:cs="Calibri"/>
        </w:rPr>
        <w:t>RSC monitor compliance levels and trends</w:t>
      </w:r>
      <w:r w:rsidR="00FC32D3" w:rsidRPr="00307753">
        <w:rPr>
          <w:rFonts w:eastAsia="Calibri" w:cs="Calibri"/>
        </w:rPr>
        <w:t>,</w:t>
      </w:r>
      <w:r w:rsidRPr="00307753">
        <w:rPr>
          <w:rFonts w:eastAsia="Calibri" w:cs="Calibri"/>
        </w:rPr>
        <w:t xml:space="preserve"> and report regularly through the channels noted in Section </w:t>
      </w:r>
      <w:r w:rsidR="00715B3E" w:rsidRPr="00307753">
        <w:rPr>
          <w:rFonts w:eastAsia="Calibri" w:cs="Calibri"/>
        </w:rPr>
        <w:t>4.</w:t>
      </w:r>
      <w:r w:rsidR="008B1E96">
        <w:rPr>
          <w:rFonts w:eastAsia="Calibri" w:cs="Calibri"/>
        </w:rPr>
        <w:t>2</w:t>
      </w:r>
      <w:r w:rsidRPr="00307753">
        <w:rPr>
          <w:rFonts w:eastAsia="Calibri" w:cs="Calibri"/>
        </w:rPr>
        <w:t xml:space="preserve"> above; and, if necessary, advise </w:t>
      </w:r>
      <w:r w:rsidR="00FC32D3" w:rsidRPr="00307753">
        <w:rPr>
          <w:rFonts w:eastAsia="Calibri" w:cs="Calibri"/>
        </w:rPr>
        <w:t>ADRs</w:t>
      </w:r>
      <w:r w:rsidRPr="00307753">
        <w:rPr>
          <w:rFonts w:eastAsia="Calibri" w:cs="Calibri"/>
        </w:rPr>
        <w:t xml:space="preserve"> of specific problems for action at a school level.  This intervention was particularly successful in raising compliance rates in the period after April 2016 to achieve 85% – 90% compliance across the institution by mid 2018. </w:t>
      </w:r>
    </w:p>
    <w:p w14:paraId="51383F75" w14:textId="28BC1F58" w:rsidR="004D3917" w:rsidRPr="00307753" w:rsidRDefault="00B230B1" w:rsidP="006320CC">
      <w:pPr>
        <w:spacing w:before="120" w:after="120"/>
        <w:rPr>
          <w:rFonts w:eastAsia="Calibri" w:cs="Calibri"/>
        </w:rPr>
      </w:pPr>
      <w:r w:rsidRPr="00307753">
        <w:rPr>
          <w:rFonts w:eastAsia="Calibri" w:cs="Calibri"/>
        </w:rPr>
        <w:t xml:space="preserve">Reporting on detailed facets of OA such as Green vs. Gold, license, and funding body (for compliance other than REF) is not well supported by RIS. </w:t>
      </w:r>
      <w:r w:rsidR="004D3917" w:rsidRPr="00307753">
        <w:rPr>
          <w:rFonts w:eastAsia="Calibri" w:cs="Calibri"/>
        </w:rPr>
        <w:t xml:space="preserve">Additional tools </w:t>
      </w:r>
      <w:r w:rsidR="00D43B22" w:rsidRPr="00307753">
        <w:rPr>
          <w:rFonts w:eastAsia="Calibri" w:cs="Calibri"/>
        </w:rPr>
        <w:t xml:space="preserve">such as Scopus, </w:t>
      </w:r>
      <w:proofErr w:type="spellStart"/>
      <w:r w:rsidR="00D43B22" w:rsidRPr="00307753">
        <w:rPr>
          <w:rFonts w:eastAsia="Calibri" w:cs="Calibri"/>
        </w:rPr>
        <w:t>SciVal</w:t>
      </w:r>
      <w:proofErr w:type="spellEnd"/>
      <w:r w:rsidR="00D43B22" w:rsidRPr="00307753">
        <w:rPr>
          <w:rFonts w:eastAsia="Calibri" w:cs="Calibri"/>
        </w:rPr>
        <w:t xml:space="preserve">, </w:t>
      </w:r>
      <w:proofErr w:type="spellStart"/>
      <w:r w:rsidR="00D43B22" w:rsidRPr="00307753">
        <w:rPr>
          <w:rFonts w:eastAsia="Calibri" w:cs="Calibri"/>
        </w:rPr>
        <w:t>Unpaywall</w:t>
      </w:r>
      <w:proofErr w:type="spellEnd"/>
      <w:r w:rsidR="00D43B22" w:rsidRPr="00307753">
        <w:rPr>
          <w:rFonts w:eastAsia="Calibri" w:cs="Calibri"/>
        </w:rPr>
        <w:t xml:space="preserve"> and </w:t>
      </w:r>
      <w:proofErr w:type="spellStart"/>
      <w:r w:rsidR="00D43B22" w:rsidRPr="00307753">
        <w:rPr>
          <w:rFonts w:eastAsia="Calibri" w:cs="Calibri"/>
        </w:rPr>
        <w:t>ResearchFish</w:t>
      </w:r>
      <w:proofErr w:type="spellEnd"/>
      <w:r w:rsidR="00D43B22" w:rsidRPr="00307753">
        <w:rPr>
          <w:rFonts w:eastAsia="Calibri" w:cs="Calibri"/>
        </w:rPr>
        <w:t xml:space="preserve"> are used to </w:t>
      </w:r>
      <w:r w:rsidR="00A95CDB" w:rsidRPr="00307753">
        <w:rPr>
          <w:rFonts w:eastAsia="Calibri" w:cs="Calibri"/>
        </w:rPr>
        <w:t xml:space="preserve">derive additional insight. </w:t>
      </w:r>
    </w:p>
    <w:p w14:paraId="67151276" w14:textId="2E721E3F" w:rsidR="00817230" w:rsidRPr="00307753" w:rsidRDefault="008B48E4" w:rsidP="18908708">
      <w:pPr>
        <w:spacing w:before="120" w:after="120"/>
        <w:rPr>
          <w:rFonts w:eastAsia="Calibri" w:cs="Calibri"/>
        </w:rPr>
      </w:pPr>
      <w:r w:rsidRPr="00307753">
        <w:rPr>
          <w:rFonts w:eastAsia="Calibri" w:cs="Calibri"/>
        </w:rPr>
        <w:t>Regular</w:t>
      </w:r>
      <w:r w:rsidR="00817230" w:rsidRPr="00307753">
        <w:rPr>
          <w:rFonts w:eastAsia="Calibri" w:cs="Calibri"/>
        </w:rPr>
        <w:t xml:space="preserve"> reports include:</w:t>
      </w:r>
    </w:p>
    <w:p w14:paraId="02E16512" w14:textId="398F74E0" w:rsidR="00543263" w:rsidRDefault="00715B3E" w:rsidP="00AC440D">
      <w:pPr>
        <w:pStyle w:val="ListParagraph"/>
        <w:numPr>
          <w:ilvl w:val="0"/>
          <w:numId w:val="13"/>
        </w:numPr>
        <w:spacing w:before="120" w:after="120"/>
        <w:rPr>
          <w:rFonts w:eastAsia="Calibri" w:cs="Calibri"/>
        </w:rPr>
      </w:pPr>
      <w:r w:rsidRPr="00307753">
        <w:rPr>
          <w:rFonts w:eastAsia="Calibri" w:cs="Calibri"/>
        </w:rPr>
        <w:t xml:space="preserve">RSC </w:t>
      </w:r>
      <w:r w:rsidR="009B3412" w:rsidRPr="00307753">
        <w:rPr>
          <w:rFonts w:eastAsia="Calibri" w:cs="Calibri"/>
        </w:rPr>
        <w:t xml:space="preserve">report to </w:t>
      </w:r>
      <w:r w:rsidRPr="00307753">
        <w:rPr>
          <w:rFonts w:eastAsia="Calibri" w:cs="Calibri"/>
        </w:rPr>
        <w:t>Research Committee</w:t>
      </w:r>
      <w:r w:rsidR="009B3412" w:rsidRPr="00307753">
        <w:rPr>
          <w:rFonts w:eastAsia="Calibri" w:cs="Calibri"/>
        </w:rPr>
        <w:t xml:space="preserve">. 3 per year. </w:t>
      </w:r>
      <w:r w:rsidR="00DF79B9" w:rsidRPr="00307753">
        <w:rPr>
          <w:rFonts w:eastAsia="Calibri" w:cs="Calibri"/>
        </w:rPr>
        <w:t xml:space="preserve">This report includes </w:t>
      </w:r>
      <w:r w:rsidR="003628FD" w:rsidRPr="00307753">
        <w:rPr>
          <w:rFonts w:eastAsia="Calibri" w:cs="Calibri"/>
        </w:rPr>
        <w:t>enga</w:t>
      </w:r>
      <w:r w:rsidR="008B48E4" w:rsidRPr="00307753">
        <w:rPr>
          <w:rFonts w:eastAsia="Calibri" w:cs="Calibri"/>
        </w:rPr>
        <w:t>g</w:t>
      </w:r>
      <w:r w:rsidR="003628FD" w:rsidRPr="00307753">
        <w:rPr>
          <w:rFonts w:eastAsia="Calibri" w:cs="Calibri"/>
        </w:rPr>
        <w:t>em</w:t>
      </w:r>
      <w:r w:rsidR="008B48E4" w:rsidRPr="00307753">
        <w:rPr>
          <w:rFonts w:eastAsia="Calibri" w:cs="Calibri"/>
        </w:rPr>
        <w:t>e</w:t>
      </w:r>
      <w:r w:rsidR="003628FD" w:rsidRPr="00307753">
        <w:rPr>
          <w:rFonts w:eastAsia="Calibri" w:cs="Calibri"/>
        </w:rPr>
        <w:t>nt wit</w:t>
      </w:r>
      <w:r w:rsidR="00B80A44" w:rsidRPr="00307753">
        <w:rPr>
          <w:rFonts w:eastAsia="Calibri" w:cs="Calibri"/>
        </w:rPr>
        <w:t>h systems</w:t>
      </w:r>
      <w:r w:rsidR="007E1884">
        <w:rPr>
          <w:rFonts w:eastAsia="Calibri" w:cs="Calibri"/>
        </w:rPr>
        <w:t>,</w:t>
      </w:r>
      <w:r w:rsidR="00B80A44" w:rsidRPr="00307753">
        <w:rPr>
          <w:rFonts w:eastAsia="Calibri" w:cs="Calibri"/>
        </w:rPr>
        <w:t xml:space="preserve"> </w:t>
      </w:r>
      <w:r w:rsidR="009D08BC" w:rsidRPr="00307753">
        <w:rPr>
          <w:rFonts w:eastAsia="Calibri" w:cs="Calibri"/>
        </w:rPr>
        <w:t xml:space="preserve">numbers </w:t>
      </w:r>
      <w:r w:rsidR="00B80A44" w:rsidRPr="00307753">
        <w:rPr>
          <w:rFonts w:eastAsia="Calibri" w:cs="Calibri"/>
        </w:rPr>
        <w:t xml:space="preserve">of </w:t>
      </w:r>
      <w:r w:rsidR="009D08BC" w:rsidRPr="00307753">
        <w:rPr>
          <w:rFonts w:eastAsia="Calibri" w:cs="Calibri"/>
        </w:rPr>
        <w:t xml:space="preserve">OA outputs, downland usage </w:t>
      </w:r>
      <w:r w:rsidR="003628FD" w:rsidRPr="00307753">
        <w:rPr>
          <w:rFonts w:eastAsia="Calibri" w:cs="Calibri"/>
        </w:rPr>
        <w:t xml:space="preserve">of manuscripts from UHRA, </w:t>
      </w:r>
      <w:r w:rsidR="00B80A44" w:rsidRPr="00307753">
        <w:rPr>
          <w:rFonts w:eastAsia="Calibri" w:cs="Calibri"/>
        </w:rPr>
        <w:t xml:space="preserve">and </w:t>
      </w:r>
      <w:r w:rsidR="003628FD" w:rsidRPr="00307753">
        <w:rPr>
          <w:rFonts w:eastAsia="Calibri" w:cs="Calibri"/>
        </w:rPr>
        <w:t xml:space="preserve">REF and </w:t>
      </w:r>
      <w:r w:rsidR="00B80A44" w:rsidRPr="00307753">
        <w:rPr>
          <w:rFonts w:eastAsia="Calibri" w:cs="Calibri"/>
        </w:rPr>
        <w:t>o</w:t>
      </w:r>
      <w:r w:rsidR="003628FD" w:rsidRPr="00307753">
        <w:rPr>
          <w:rFonts w:eastAsia="Calibri" w:cs="Calibri"/>
        </w:rPr>
        <w:t>verall compliance rate</w:t>
      </w:r>
      <w:r w:rsidR="00B80A44" w:rsidRPr="00307753">
        <w:rPr>
          <w:rFonts w:eastAsia="Calibri" w:cs="Calibri"/>
        </w:rPr>
        <w:t>s</w:t>
      </w:r>
      <w:r w:rsidR="003628FD" w:rsidRPr="00307753">
        <w:rPr>
          <w:rFonts w:eastAsia="Calibri" w:cs="Calibri"/>
        </w:rPr>
        <w:t xml:space="preserve">. </w:t>
      </w:r>
      <w:r w:rsidRPr="00307753">
        <w:rPr>
          <w:rFonts w:eastAsia="Calibri" w:cs="Calibri"/>
        </w:rPr>
        <w:t xml:space="preserve"> </w:t>
      </w:r>
    </w:p>
    <w:p w14:paraId="3E9E48FB" w14:textId="1B3913E8" w:rsidR="00FD6062" w:rsidRPr="00307753" w:rsidRDefault="0006699F" w:rsidP="00711BD5">
      <w:pPr>
        <w:pStyle w:val="ListParagraph"/>
        <w:spacing w:before="120" w:after="120"/>
        <w:rPr>
          <w:rFonts w:eastAsia="Calibri" w:cs="Calibri"/>
        </w:rPr>
      </w:pPr>
      <w:hyperlink w:anchor="_Appendix_F_" w:history="1">
        <w:r w:rsidR="00B80A44" w:rsidRPr="00711BD5">
          <w:rPr>
            <w:rStyle w:val="Hyperlink"/>
            <w:rFonts w:eastAsia="Calibri" w:cs="Calibri"/>
          </w:rPr>
          <w:t xml:space="preserve">Appendix </w:t>
        </w:r>
        <w:r w:rsidR="00543263" w:rsidRPr="00711BD5">
          <w:rPr>
            <w:rStyle w:val="Hyperlink"/>
            <w:rFonts w:eastAsia="Calibri" w:cs="Calibri"/>
          </w:rPr>
          <w:t>F</w:t>
        </w:r>
        <w:r w:rsidR="000D6D03" w:rsidRPr="00711BD5">
          <w:rPr>
            <w:rStyle w:val="Hyperlink"/>
            <w:rFonts w:eastAsia="Calibri" w:cs="Calibri"/>
          </w:rPr>
          <w:t xml:space="preserve"> Specimen </w:t>
        </w:r>
        <w:r w:rsidR="00711BD5" w:rsidRPr="00711BD5">
          <w:rPr>
            <w:rStyle w:val="Hyperlink"/>
            <w:rFonts w:eastAsia="Calibri" w:cs="Calibri"/>
          </w:rPr>
          <w:t xml:space="preserve">Research Committee </w:t>
        </w:r>
        <w:r w:rsidR="000D6D03" w:rsidRPr="00711BD5">
          <w:rPr>
            <w:rStyle w:val="Hyperlink"/>
            <w:rFonts w:eastAsia="Calibri" w:cs="Calibri"/>
          </w:rPr>
          <w:t>report</w:t>
        </w:r>
      </w:hyperlink>
    </w:p>
    <w:p w14:paraId="6B293B6A" w14:textId="77777777" w:rsidR="00E715A8" w:rsidRDefault="00CD3205" w:rsidP="00AC440D">
      <w:pPr>
        <w:pStyle w:val="ListParagraph"/>
        <w:numPr>
          <w:ilvl w:val="0"/>
          <w:numId w:val="13"/>
        </w:numPr>
        <w:spacing w:before="120" w:after="120"/>
        <w:rPr>
          <w:rFonts w:eastAsia="Calibri" w:cs="Calibri"/>
        </w:rPr>
      </w:pPr>
      <w:r w:rsidRPr="00307753">
        <w:rPr>
          <w:rFonts w:eastAsia="Calibri" w:cs="Calibri"/>
        </w:rPr>
        <w:lastRenderedPageBreak/>
        <w:t xml:space="preserve">RSC/RO </w:t>
      </w:r>
      <w:r w:rsidR="00817230" w:rsidRPr="00307753">
        <w:rPr>
          <w:rFonts w:eastAsia="Calibri" w:cs="Calibri"/>
        </w:rPr>
        <w:t xml:space="preserve">UKRI </w:t>
      </w:r>
      <w:r w:rsidR="009B3412" w:rsidRPr="00307753">
        <w:rPr>
          <w:rFonts w:eastAsia="Calibri" w:cs="Calibri"/>
        </w:rPr>
        <w:t>a</w:t>
      </w:r>
      <w:r w:rsidRPr="00307753">
        <w:rPr>
          <w:rFonts w:eastAsia="Calibri" w:cs="Calibri"/>
        </w:rPr>
        <w:t xml:space="preserve">nnual </w:t>
      </w:r>
      <w:r w:rsidR="009B3412" w:rsidRPr="00307753">
        <w:rPr>
          <w:rFonts w:eastAsia="Calibri" w:cs="Calibri"/>
        </w:rPr>
        <w:t xml:space="preserve">open access </w:t>
      </w:r>
      <w:r w:rsidR="00204A38" w:rsidRPr="00307753">
        <w:rPr>
          <w:rFonts w:eastAsia="Calibri" w:cs="Calibri"/>
        </w:rPr>
        <w:t xml:space="preserve">report. </w:t>
      </w:r>
      <w:r w:rsidR="009B3412" w:rsidRPr="00307753">
        <w:rPr>
          <w:rFonts w:eastAsia="Calibri" w:cs="Calibri"/>
        </w:rPr>
        <w:t xml:space="preserve"> </w:t>
      </w:r>
    </w:p>
    <w:p w14:paraId="5981D208" w14:textId="388F9723" w:rsidR="00CD3205" w:rsidRPr="00307753" w:rsidRDefault="0006699F" w:rsidP="00E715A8">
      <w:pPr>
        <w:pStyle w:val="ListParagraph"/>
        <w:spacing w:before="120" w:after="120"/>
        <w:rPr>
          <w:rFonts w:eastAsia="Calibri" w:cs="Calibri"/>
        </w:rPr>
      </w:pPr>
      <w:hyperlink r:id="rId25" w:history="1">
        <w:r w:rsidR="006251CD" w:rsidRPr="00E715A8">
          <w:rPr>
            <w:rStyle w:val="Hyperlink"/>
            <w:rFonts w:eastAsia="Calibri" w:cs="Calibri"/>
          </w:rPr>
          <w:t xml:space="preserve">Appendix </w:t>
        </w:r>
        <w:r w:rsidR="00B25174">
          <w:rPr>
            <w:rStyle w:val="Hyperlink"/>
            <w:rFonts w:eastAsia="Calibri" w:cs="Calibri"/>
          </w:rPr>
          <w:t>G</w:t>
        </w:r>
        <w:r w:rsidR="006251CD" w:rsidRPr="00E715A8">
          <w:rPr>
            <w:rStyle w:val="Hyperlink"/>
            <w:rFonts w:eastAsia="Calibri" w:cs="Calibri"/>
          </w:rPr>
          <w:t xml:space="preserve"> (online)</w:t>
        </w:r>
        <w:r w:rsidR="00A20B3C" w:rsidRPr="00E715A8">
          <w:rPr>
            <w:rStyle w:val="Hyperlink"/>
            <w:rFonts w:eastAsia="Calibri" w:cs="Calibri"/>
          </w:rPr>
          <w:t xml:space="preserve"> </w:t>
        </w:r>
        <w:r w:rsidR="00BE2475" w:rsidRPr="00E715A8">
          <w:rPr>
            <w:rStyle w:val="Hyperlink"/>
            <w:rFonts w:eastAsia="Calibri" w:cs="Calibri"/>
          </w:rPr>
          <w:t>RCUK open access return 2016</w:t>
        </w:r>
      </w:hyperlink>
    </w:p>
    <w:p w14:paraId="5962A491" w14:textId="117DAB72" w:rsidR="00FD6062" w:rsidRPr="00B25174" w:rsidRDefault="00861724" w:rsidP="00B25174">
      <w:pPr>
        <w:pStyle w:val="ListParagraph"/>
        <w:numPr>
          <w:ilvl w:val="0"/>
          <w:numId w:val="13"/>
        </w:numPr>
        <w:spacing w:before="120" w:after="120"/>
        <w:rPr>
          <w:rFonts w:eastAsia="Calibri" w:cs="Calibri"/>
        </w:rPr>
      </w:pPr>
      <w:r w:rsidRPr="00307753">
        <w:rPr>
          <w:rFonts w:eastAsia="Calibri" w:cs="Calibri"/>
        </w:rPr>
        <w:t>PRMG research metrics repor</w:t>
      </w:r>
      <w:r w:rsidR="00385256" w:rsidRPr="00307753">
        <w:rPr>
          <w:rFonts w:eastAsia="Calibri" w:cs="Calibri"/>
        </w:rPr>
        <w:t xml:space="preserve">t, to </w:t>
      </w:r>
      <w:r w:rsidR="00355B96" w:rsidRPr="00307753">
        <w:rPr>
          <w:rFonts w:eastAsia="Calibri" w:cs="Calibri"/>
        </w:rPr>
        <w:t xml:space="preserve">be introduced 2021, to </w:t>
      </w:r>
      <w:r w:rsidR="00385256" w:rsidRPr="00307753">
        <w:rPr>
          <w:rFonts w:eastAsia="Calibri" w:cs="Calibri"/>
        </w:rPr>
        <w:t xml:space="preserve">include </w:t>
      </w:r>
      <w:r w:rsidR="00204A38" w:rsidRPr="00307753">
        <w:rPr>
          <w:rFonts w:eastAsia="Calibri" w:cs="Calibri"/>
        </w:rPr>
        <w:t>OA</w:t>
      </w:r>
      <w:r w:rsidR="00355B96" w:rsidRPr="00307753">
        <w:rPr>
          <w:rFonts w:eastAsia="Calibri" w:cs="Calibri"/>
        </w:rPr>
        <w:t xml:space="preserve"> </w:t>
      </w:r>
      <w:r w:rsidR="00204A38" w:rsidRPr="00307753">
        <w:rPr>
          <w:rFonts w:eastAsia="Calibri" w:cs="Calibri"/>
        </w:rPr>
        <w:t>C</w:t>
      </w:r>
      <w:r w:rsidR="00355B96" w:rsidRPr="00307753">
        <w:rPr>
          <w:rFonts w:eastAsia="Calibri" w:cs="Calibri"/>
        </w:rPr>
        <w:t xml:space="preserve">itation </w:t>
      </w:r>
      <w:r w:rsidR="00204A38" w:rsidRPr="00307753">
        <w:rPr>
          <w:rFonts w:eastAsia="Calibri" w:cs="Calibri"/>
        </w:rPr>
        <w:t>A</w:t>
      </w:r>
      <w:r w:rsidR="00355B96" w:rsidRPr="00307753">
        <w:rPr>
          <w:rFonts w:eastAsia="Calibri" w:cs="Calibri"/>
        </w:rPr>
        <w:t>dvantage.</w:t>
      </w:r>
      <w:r w:rsidR="001A6F2B">
        <w:rPr>
          <w:rFonts w:eastAsia="Calibri" w:cs="Calibri"/>
        </w:rPr>
        <w:t xml:space="preserve"> </w:t>
      </w:r>
      <w:hyperlink w:anchor="_Appendix_H_Field" w:history="1">
        <w:r w:rsidR="00355B96" w:rsidRPr="00076258">
          <w:rPr>
            <w:rStyle w:val="Hyperlink"/>
            <w:rFonts w:eastAsia="Calibri" w:cs="Calibri"/>
          </w:rPr>
          <w:t>Appendix</w:t>
        </w:r>
        <w:r w:rsidR="00B25174" w:rsidRPr="00076258">
          <w:rPr>
            <w:rStyle w:val="Hyperlink"/>
            <w:rFonts w:eastAsia="Calibri" w:cs="Calibri"/>
          </w:rPr>
          <w:t xml:space="preserve"> H </w:t>
        </w:r>
        <w:r w:rsidR="00AA6E89" w:rsidRPr="00076258">
          <w:rPr>
            <w:rStyle w:val="Hyperlink"/>
            <w:rFonts w:eastAsia="Calibri" w:cs="Calibri"/>
          </w:rPr>
          <w:t xml:space="preserve">Field Weighted Citation Impact vs. </w:t>
        </w:r>
        <w:r w:rsidR="00B25174" w:rsidRPr="00076258">
          <w:rPr>
            <w:rStyle w:val="Hyperlink"/>
            <w:rFonts w:eastAsia="Calibri" w:cs="Calibri"/>
          </w:rPr>
          <w:t xml:space="preserve">Open Access </w:t>
        </w:r>
        <w:r w:rsidR="00AA6E89" w:rsidRPr="00076258">
          <w:rPr>
            <w:rStyle w:val="Hyperlink"/>
            <w:rFonts w:eastAsia="Calibri" w:cs="Calibri"/>
          </w:rPr>
          <w:t>type</w:t>
        </w:r>
      </w:hyperlink>
    </w:p>
    <w:p w14:paraId="1CA410C7" w14:textId="6595AA95" w:rsidR="00095AA2" w:rsidRPr="00307753" w:rsidRDefault="00715B3E" w:rsidP="18908708">
      <w:pPr>
        <w:spacing w:before="120" w:after="120"/>
        <w:rPr>
          <w:rFonts w:eastAsia="Calibri" w:cs="Calibri"/>
        </w:rPr>
      </w:pPr>
      <w:r w:rsidRPr="00307753">
        <w:rPr>
          <w:rFonts w:eastAsia="Calibri" w:cs="Calibri"/>
        </w:rPr>
        <w:t xml:space="preserve"> </w:t>
      </w:r>
    </w:p>
    <w:p w14:paraId="327DABB2" w14:textId="309992E6" w:rsidR="001C6A22" w:rsidRPr="0052748B" w:rsidRDefault="001C6A22" w:rsidP="0052748B">
      <w:pPr>
        <w:rPr>
          <w:rFonts w:eastAsia="Calibri" w:cs="Calibri"/>
        </w:rPr>
        <w:sectPr w:rsidR="001C6A22" w:rsidRPr="0052748B" w:rsidSect="00755976">
          <w:footerReference w:type="first" r:id="rId26"/>
          <w:type w:val="continuous"/>
          <w:pgSz w:w="12240" w:h="15840"/>
          <w:pgMar w:top="1440" w:right="1440" w:bottom="1440" w:left="1440" w:header="720" w:footer="720" w:gutter="0"/>
          <w:pgNumType w:start="1"/>
          <w:cols w:space="720"/>
          <w:docGrid w:linePitch="360"/>
        </w:sectPr>
      </w:pPr>
      <w:bookmarkStart w:id="16" w:name="_Appendix_B_"/>
      <w:bookmarkEnd w:id="16"/>
    </w:p>
    <w:p w14:paraId="37644998" w14:textId="77777777" w:rsidR="00587C05" w:rsidRPr="00B74871" w:rsidRDefault="00587C05" w:rsidP="00B74871">
      <w:pPr>
        <w:rPr>
          <w:sz w:val="32"/>
          <w:szCs w:val="32"/>
        </w:rPr>
      </w:pPr>
      <w:r w:rsidRPr="00B74871">
        <w:rPr>
          <w:sz w:val="32"/>
          <w:szCs w:val="32"/>
        </w:rPr>
        <w:lastRenderedPageBreak/>
        <w:t>Appendices</w:t>
      </w:r>
    </w:p>
    <w:p w14:paraId="1D682B15" w14:textId="36B02720" w:rsidR="00587C05" w:rsidRPr="00664897" w:rsidRDefault="00587C05" w:rsidP="00664897">
      <w:pPr>
        <w:pStyle w:val="Heading1"/>
      </w:pPr>
      <w:bookmarkStart w:id="17" w:name="_Toc65071797"/>
      <w:r w:rsidRPr="00664897">
        <w:rPr>
          <w:rStyle w:val="Hyperlink"/>
          <w:color w:val="2F5496" w:themeColor="accent1" w:themeShade="BF"/>
          <w:u w:val="none"/>
        </w:rPr>
        <w:t xml:space="preserve">Appendix A </w:t>
      </w:r>
      <w:r w:rsidR="001A788F" w:rsidRPr="00664897">
        <w:tab/>
      </w:r>
      <w:r w:rsidRPr="00664897">
        <w:rPr>
          <w:rStyle w:val="Hyperlink"/>
          <w:color w:val="2F5496" w:themeColor="accent1" w:themeShade="BF"/>
          <w:u w:val="none"/>
        </w:rPr>
        <w:t xml:space="preserve"> UH UPR IM18 Open Access Policy</w:t>
      </w:r>
      <w:bookmarkEnd w:id="17"/>
    </w:p>
    <w:p w14:paraId="1ED9BE55" w14:textId="27679B23" w:rsidR="001A788F" w:rsidRPr="001A788F" w:rsidRDefault="0006699F" w:rsidP="001A788F">
      <w:hyperlink r:id="rId27" w:history="1">
        <w:r w:rsidR="001A788F" w:rsidRPr="00280F01">
          <w:rPr>
            <w:rStyle w:val="Hyperlink"/>
          </w:rPr>
          <w:t>https://www.herts.ac.uk/__data/assets/pdf_file/0005/233087/IM18-Open-Access-Policy.pdf</w:t>
        </w:r>
      </w:hyperlink>
      <w:r w:rsidR="001A788F">
        <w:t xml:space="preserve"> </w:t>
      </w:r>
    </w:p>
    <w:p w14:paraId="306902A7" w14:textId="77777777" w:rsidR="001A788F" w:rsidRDefault="001A788F" w:rsidP="008768E8">
      <w:pPr>
        <w:pStyle w:val="Heading1"/>
        <w:rPr>
          <w:rFonts w:asciiTheme="minorHAnsi" w:eastAsia="Calibri" w:hAnsiTheme="minorHAnsi"/>
        </w:rPr>
      </w:pPr>
    </w:p>
    <w:p w14:paraId="322AF4AD" w14:textId="7FD447E9" w:rsidR="00B6475B" w:rsidRPr="00664897" w:rsidRDefault="00095AA2" w:rsidP="00664897">
      <w:pPr>
        <w:pStyle w:val="Heading1"/>
        <w:rPr>
          <w:rStyle w:val="Heading2Char"/>
          <w:sz w:val="32"/>
          <w:szCs w:val="32"/>
        </w:rPr>
      </w:pPr>
      <w:bookmarkStart w:id="18" w:name="_Toc65071798"/>
      <w:r w:rsidRPr="00664897">
        <w:t>Append</w:t>
      </w:r>
      <w:r w:rsidR="009B19B1" w:rsidRPr="00664897">
        <w:t>ix B</w:t>
      </w:r>
      <w:r w:rsidR="00367D03" w:rsidRPr="00664897">
        <w:tab/>
      </w:r>
      <w:r w:rsidR="008768E8" w:rsidRPr="00664897">
        <w:t>Research Systems</w:t>
      </w:r>
      <w:bookmarkEnd w:id="18"/>
    </w:p>
    <w:p w14:paraId="1D63FBAD" w14:textId="77777777" w:rsidR="00C05BCC" w:rsidRDefault="00C05BCC" w:rsidP="00C05BCC">
      <w:pPr>
        <w:rPr>
          <w:rStyle w:val="Heading2Char"/>
          <w:rFonts w:asciiTheme="minorHAnsi" w:hAnsiTheme="minorHAnsi"/>
        </w:rPr>
      </w:pPr>
    </w:p>
    <w:p w14:paraId="05445745" w14:textId="19062FC9" w:rsidR="008768E8" w:rsidRPr="00C05BCC" w:rsidRDefault="001A788F" w:rsidP="00C05BCC">
      <w:pPr>
        <w:rPr>
          <w:b/>
          <w:bCs/>
        </w:rPr>
      </w:pPr>
      <w:r w:rsidRPr="00C05BCC">
        <w:rPr>
          <w:b/>
          <w:bCs/>
        </w:rPr>
        <w:t>1</w:t>
      </w:r>
      <w:r w:rsidRPr="00C05BCC">
        <w:rPr>
          <w:b/>
          <w:bCs/>
        </w:rPr>
        <w:tab/>
      </w:r>
      <w:r w:rsidR="008768E8" w:rsidRPr="00C05BCC">
        <w:rPr>
          <w:b/>
          <w:bCs/>
        </w:rPr>
        <w:t>Research Information System (RIS)</w:t>
      </w:r>
    </w:p>
    <w:p w14:paraId="3BF93BF9" w14:textId="2D0DCE73" w:rsidR="008768E8" w:rsidRPr="00307753" w:rsidRDefault="008768E8" w:rsidP="008768E8">
      <w:pPr>
        <w:spacing w:before="120" w:after="120"/>
        <w:rPr>
          <w:rFonts w:eastAsia="Calibri" w:cs="Calibri"/>
        </w:rPr>
      </w:pPr>
      <w:r w:rsidRPr="00307753">
        <w:t xml:space="preserve">Elsevier Pure, 750 user </w:t>
      </w:r>
      <w:r w:rsidR="000F314F" w:rsidRPr="00307753">
        <w:t>licenses</w:t>
      </w:r>
      <w:r w:rsidR="007539AA" w:rsidRPr="00307753">
        <w:t xml:space="preserve">. </w:t>
      </w:r>
      <w:r w:rsidRPr="00307753">
        <w:t xml:space="preserve">Maintained since 2012. See </w:t>
      </w:r>
      <w:hyperlink r:id="rId28">
        <w:r w:rsidRPr="00307753">
          <w:rPr>
            <w:rStyle w:val="Hyperlink"/>
            <w:rFonts w:eastAsia="Calibri" w:cs="Calibri"/>
          </w:rPr>
          <w:t>https://www.research.herts.ac.uk/</w:t>
        </w:r>
      </w:hyperlink>
      <w:r w:rsidRPr="00307753">
        <w:rPr>
          <w:rFonts w:eastAsia="Calibri" w:cs="Calibri"/>
        </w:rPr>
        <w:t xml:space="preserve"> and </w:t>
      </w:r>
      <w:hyperlink r:id="rId29">
        <w:r w:rsidRPr="00307753">
          <w:rPr>
            <w:rStyle w:val="Hyperlink"/>
            <w:rFonts w:eastAsia="Calibri" w:cs="Calibri"/>
          </w:rPr>
          <w:t>http://researchprofiles.herts.ac.uk/portal/</w:t>
        </w:r>
      </w:hyperlink>
      <w:r w:rsidRPr="00307753">
        <w:rPr>
          <w:rFonts w:eastAsia="Calibri" w:cs="Calibri"/>
        </w:rPr>
        <w:t xml:space="preserve">. </w:t>
      </w:r>
    </w:p>
    <w:p w14:paraId="637E91CD" w14:textId="7C0603A2" w:rsidR="008768E8" w:rsidRPr="00307753" w:rsidRDefault="008768E8" w:rsidP="008768E8">
      <w:pPr>
        <w:spacing w:before="120" w:after="120"/>
        <w:rPr>
          <w:rFonts w:eastAsia="Calibri" w:cs="Calibri"/>
        </w:rPr>
      </w:pPr>
      <w:r w:rsidRPr="00307753">
        <w:rPr>
          <w:rFonts w:eastAsia="Calibri" w:cs="Calibri"/>
        </w:rPr>
        <w:t xml:space="preserve">Pure is a market leading CRIS which allows researchers to record details of their research outputs, projects, activities and awards. In addition, it has a REF preparation and submission module that includes REF OA policy checking and tracking. Access to RIS is available for all post-doctoral researchers. Post-Graduate Researchers are encouraged to deposit via their supervisors or research leaders.  </w:t>
      </w:r>
    </w:p>
    <w:p w14:paraId="5EA8CE1D" w14:textId="30202C22" w:rsidR="008768E8" w:rsidRPr="00C05BCC" w:rsidRDefault="001A788F" w:rsidP="00C05BCC">
      <w:pPr>
        <w:rPr>
          <w:b/>
          <w:bCs/>
        </w:rPr>
      </w:pPr>
      <w:r w:rsidRPr="00C05BCC">
        <w:rPr>
          <w:b/>
          <w:bCs/>
        </w:rPr>
        <w:t>2</w:t>
      </w:r>
      <w:r w:rsidRPr="00C05BCC">
        <w:rPr>
          <w:b/>
          <w:bCs/>
        </w:rPr>
        <w:tab/>
      </w:r>
      <w:r w:rsidR="008768E8" w:rsidRPr="00C05BCC">
        <w:rPr>
          <w:b/>
          <w:bCs/>
        </w:rPr>
        <w:t xml:space="preserve">Institutional repository (UHRA) </w:t>
      </w:r>
    </w:p>
    <w:p w14:paraId="09AC5738" w14:textId="05118092" w:rsidR="008768E8" w:rsidRPr="00307753" w:rsidRDefault="008768E8" w:rsidP="008768E8">
      <w:pPr>
        <w:spacing w:before="120" w:after="120"/>
        <w:rPr>
          <w:rFonts w:eastAsia="Calibri" w:cs="Calibri"/>
        </w:rPr>
      </w:pPr>
      <w:proofErr w:type="spellStart"/>
      <w:r w:rsidRPr="00307753">
        <w:t>dSpace</w:t>
      </w:r>
      <w:proofErr w:type="spellEnd"/>
      <w:r w:rsidRPr="00307753">
        <w:t xml:space="preserve"> 5.8; maintained since 2007; upgraded in 2014 and 2018 for interoperability and discoverability of open content. See </w:t>
      </w:r>
      <w:r w:rsidRPr="00307753">
        <w:rPr>
          <w:rFonts w:eastAsia="Calibri" w:cs="Calibri"/>
        </w:rPr>
        <w:t xml:space="preserve">University of Hertfordshire Research Archive </w:t>
      </w:r>
      <w:hyperlink r:id="rId30">
        <w:r w:rsidRPr="00307753">
          <w:rPr>
            <w:rStyle w:val="Hyperlink"/>
            <w:rFonts w:eastAsia="Calibri" w:cs="Calibri"/>
          </w:rPr>
          <w:t>https://uhra.herts.ac.uk/</w:t>
        </w:r>
      </w:hyperlink>
      <w:r w:rsidRPr="00307753">
        <w:rPr>
          <w:rFonts w:eastAsia="Calibri" w:cs="Calibri"/>
        </w:rPr>
        <w:t xml:space="preserve"> </w:t>
      </w:r>
      <w:r w:rsidRPr="00307753">
        <w:t xml:space="preserve">The deposit of </w:t>
      </w:r>
      <w:proofErr w:type="gramStart"/>
      <w:r w:rsidRPr="00307753">
        <w:t>Masters</w:t>
      </w:r>
      <w:proofErr w:type="gramEnd"/>
      <w:r w:rsidRPr="00307753">
        <w:t xml:space="preserve"> and PhD by research is a condition of award. Registered with CORE, </w:t>
      </w:r>
      <w:r w:rsidRPr="00307753">
        <w:rPr>
          <w:rFonts w:eastAsia="Calibri" w:cs="Calibri"/>
        </w:rPr>
        <w:t>re3data</w:t>
      </w:r>
      <w:r w:rsidRPr="00307753">
        <w:t xml:space="preserve">, IRUS-UK, BL-Ethos. </w:t>
      </w:r>
      <w:r w:rsidRPr="00307753">
        <w:rPr>
          <w:rFonts w:eastAsia="Calibri" w:cs="Calibri"/>
        </w:rPr>
        <w:t>Repository page addresses, known as handles, are functionally equivalent to DOIs.</w:t>
      </w:r>
      <w:r w:rsidRPr="00307753">
        <w:t xml:space="preserve"> </w:t>
      </w:r>
      <w:proofErr w:type="spellStart"/>
      <w:r w:rsidRPr="00307753">
        <w:t>Datacite</w:t>
      </w:r>
      <w:proofErr w:type="spellEnd"/>
      <w:r w:rsidRPr="00307753">
        <w:t xml:space="preserve"> DOIs can also be allocated to support datasets, </w:t>
      </w:r>
      <w:proofErr w:type="spellStart"/>
      <w:r w:rsidRPr="00307753">
        <w:t>theses</w:t>
      </w:r>
      <w:proofErr w:type="spellEnd"/>
      <w:r w:rsidRPr="00307753">
        <w:t xml:space="preserve"> and other locally published material such as commissioned reports.  </w:t>
      </w:r>
    </w:p>
    <w:p w14:paraId="39A75DB4" w14:textId="73F6B100" w:rsidR="008768E8" w:rsidRPr="00C05BCC" w:rsidRDefault="001A788F" w:rsidP="00C05BCC">
      <w:pPr>
        <w:rPr>
          <w:b/>
          <w:bCs/>
        </w:rPr>
      </w:pPr>
      <w:r w:rsidRPr="00C05BCC">
        <w:rPr>
          <w:b/>
          <w:bCs/>
        </w:rPr>
        <w:t>3</w:t>
      </w:r>
      <w:r w:rsidRPr="00C05BCC">
        <w:rPr>
          <w:b/>
          <w:bCs/>
        </w:rPr>
        <w:tab/>
      </w:r>
      <w:r w:rsidR="008768E8" w:rsidRPr="00C05BCC">
        <w:rPr>
          <w:b/>
          <w:bCs/>
        </w:rPr>
        <w:t xml:space="preserve">Additional </w:t>
      </w:r>
      <w:r w:rsidR="00B6475B" w:rsidRPr="00C05BCC">
        <w:rPr>
          <w:b/>
          <w:bCs/>
        </w:rPr>
        <w:t xml:space="preserve">integrated </w:t>
      </w:r>
      <w:r w:rsidR="008768E8" w:rsidRPr="00C05BCC">
        <w:rPr>
          <w:b/>
          <w:bCs/>
        </w:rPr>
        <w:t>tools and subscriptions</w:t>
      </w:r>
    </w:p>
    <w:p w14:paraId="25520E42" w14:textId="3585A6FD" w:rsidR="0067048C" w:rsidRPr="00307753" w:rsidRDefault="008768E8" w:rsidP="004410DC">
      <w:pPr>
        <w:pStyle w:val="ListParagraph"/>
        <w:numPr>
          <w:ilvl w:val="0"/>
          <w:numId w:val="14"/>
        </w:numPr>
        <w:spacing w:before="120" w:after="120"/>
        <w:rPr>
          <w:rFonts w:eastAsia="Calibri" w:cs="Calibri"/>
        </w:rPr>
      </w:pPr>
      <w:r w:rsidRPr="00307753">
        <w:rPr>
          <w:rFonts w:eastAsia="Calibri" w:cs="Calibri"/>
        </w:rPr>
        <w:t>Scopus</w:t>
      </w:r>
      <w:r w:rsidR="004410DC" w:rsidRPr="00307753">
        <w:rPr>
          <w:rFonts w:eastAsia="Calibri" w:cs="Calibri"/>
        </w:rPr>
        <w:t xml:space="preserve"> </w:t>
      </w:r>
    </w:p>
    <w:p w14:paraId="135F30F7" w14:textId="5F78BA08" w:rsidR="0067048C" w:rsidRPr="00307753" w:rsidRDefault="0067048C" w:rsidP="004410DC">
      <w:pPr>
        <w:pStyle w:val="ListParagraph"/>
        <w:numPr>
          <w:ilvl w:val="0"/>
          <w:numId w:val="14"/>
        </w:numPr>
        <w:spacing w:before="120" w:after="120"/>
        <w:rPr>
          <w:rFonts w:eastAsia="Calibri" w:cs="Calibri"/>
        </w:rPr>
      </w:pPr>
      <w:proofErr w:type="spellStart"/>
      <w:r w:rsidRPr="00307753">
        <w:rPr>
          <w:rFonts w:eastAsia="Calibri" w:cs="Calibri"/>
        </w:rPr>
        <w:t>Sci</w:t>
      </w:r>
      <w:r w:rsidR="004410DC" w:rsidRPr="00307753">
        <w:rPr>
          <w:rFonts w:eastAsia="Calibri" w:cs="Calibri"/>
        </w:rPr>
        <w:t>V</w:t>
      </w:r>
      <w:r w:rsidRPr="00307753">
        <w:rPr>
          <w:rFonts w:eastAsia="Calibri" w:cs="Calibri"/>
        </w:rPr>
        <w:t>al</w:t>
      </w:r>
      <w:proofErr w:type="spellEnd"/>
      <w:r w:rsidRPr="00307753">
        <w:rPr>
          <w:rFonts w:eastAsia="Calibri" w:cs="Calibri"/>
        </w:rPr>
        <w:t xml:space="preserve"> </w:t>
      </w:r>
    </w:p>
    <w:p w14:paraId="4D6A3470" w14:textId="636408D5" w:rsidR="0067048C" w:rsidRPr="00307753" w:rsidRDefault="0067048C" w:rsidP="004410DC">
      <w:pPr>
        <w:pStyle w:val="ListParagraph"/>
        <w:numPr>
          <w:ilvl w:val="0"/>
          <w:numId w:val="14"/>
        </w:numPr>
        <w:spacing w:before="120" w:after="120"/>
        <w:rPr>
          <w:rFonts w:eastAsia="Calibri" w:cs="Calibri"/>
        </w:rPr>
      </w:pPr>
      <w:r w:rsidRPr="00307753">
        <w:rPr>
          <w:rFonts w:eastAsia="Calibri" w:cs="Calibri"/>
        </w:rPr>
        <w:t>ORCID</w:t>
      </w:r>
      <w:r w:rsidR="004410DC" w:rsidRPr="00307753">
        <w:rPr>
          <w:rFonts w:eastAsia="Calibri" w:cs="Calibri"/>
        </w:rPr>
        <w:t xml:space="preserve"> </w:t>
      </w:r>
    </w:p>
    <w:p w14:paraId="5FFFF3D3" w14:textId="00F6C5D5" w:rsidR="0067048C" w:rsidRPr="00307753" w:rsidRDefault="0067048C" w:rsidP="004410DC">
      <w:pPr>
        <w:pStyle w:val="ListParagraph"/>
        <w:numPr>
          <w:ilvl w:val="0"/>
          <w:numId w:val="14"/>
        </w:numPr>
        <w:spacing w:before="120" w:after="120"/>
        <w:rPr>
          <w:rFonts w:eastAsia="Calibri" w:cs="Calibri"/>
        </w:rPr>
      </w:pPr>
      <w:proofErr w:type="spellStart"/>
      <w:r w:rsidRPr="00307753">
        <w:rPr>
          <w:rFonts w:eastAsia="Calibri" w:cs="Calibri"/>
        </w:rPr>
        <w:t>Datacite</w:t>
      </w:r>
      <w:proofErr w:type="spellEnd"/>
    </w:p>
    <w:p w14:paraId="16103866" w14:textId="5FDDF039" w:rsidR="004410DC" w:rsidRPr="00C05BCC" w:rsidRDefault="00C05BCC" w:rsidP="00C05BCC">
      <w:pPr>
        <w:rPr>
          <w:b/>
          <w:bCs/>
        </w:rPr>
      </w:pPr>
      <w:r w:rsidRPr="00C05BCC">
        <w:rPr>
          <w:b/>
          <w:bCs/>
        </w:rPr>
        <w:t>4</w:t>
      </w:r>
      <w:r w:rsidRPr="00C05BCC">
        <w:rPr>
          <w:b/>
          <w:bCs/>
        </w:rPr>
        <w:tab/>
      </w:r>
      <w:r w:rsidR="004410DC" w:rsidRPr="00C05BCC">
        <w:rPr>
          <w:b/>
          <w:bCs/>
        </w:rPr>
        <w:t>Costs</w:t>
      </w:r>
    </w:p>
    <w:p w14:paraId="04FFCB2F" w14:textId="59EF7A3C" w:rsidR="004410DC" w:rsidRPr="00307753" w:rsidRDefault="004410DC" w:rsidP="008768E8">
      <w:pPr>
        <w:spacing w:before="120" w:after="120"/>
        <w:rPr>
          <w:rFonts w:eastAsia="Calibri" w:cs="Calibri"/>
        </w:rPr>
      </w:pPr>
      <w:r w:rsidRPr="00307753">
        <w:rPr>
          <w:rFonts w:eastAsia="Calibri" w:cs="Calibri"/>
        </w:rPr>
        <w:t>The combined cost</w:t>
      </w:r>
      <w:r w:rsidR="00701BEF">
        <w:rPr>
          <w:rFonts w:eastAsia="Calibri" w:cs="Calibri"/>
        </w:rPr>
        <w:t>s</w:t>
      </w:r>
      <w:r w:rsidRPr="00307753">
        <w:rPr>
          <w:rFonts w:eastAsia="Calibri" w:cs="Calibri"/>
        </w:rPr>
        <w:t xml:space="preserve"> of this infrastructure amount to approximately £100k per annum. </w:t>
      </w:r>
    </w:p>
    <w:p w14:paraId="1B930B5B" w14:textId="77777777" w:rsidR="00861021" w:rsidRPr="00307753" w:rsidRDefault="00861021" w:rsidP="00367D03">
      <w:pPr>
        <w:pStyle w:val="Heading1"/>
        <w:rPr>
          <w:rFonts w:asciiTheme="minorHAnsi" w:eastAsia="Calibri" w:hAnsiTheme="minorHAnsi"/>
        </w:rPr>
      </w:pPr>
      <w:r w:rsidRPr="00307753">
        <w:rPr>
          <w:rFonts w:asciiTheme="minorHAnsi" w:eastAsia="Calibri" w:hAnsiTheme="minorHAnsi"/>
        </w:rPr>
        <w:br w:type="page"/>
      </w:r>
    </w:p>
    <w:p w14:paraId="5AF08790" w14:textId="1D5F9358" w:rsidR="0067048C" w:rsidRPr="00664897" w:rsidRDefault="009D18AD" w:rsidP="00664897">
      <w:pPr>
        <w:pStyle w:val="Heading1"/>
      </w:pPr>
      <w:bookmarkStart w:id="19" w:name="_Appendix_C_Workflow"/>
      <w:bookmarkStart w:id="20" w:name="_Toc65071799"/>
      <w:bookmarkEnd w:id="19"/>
      <w:r w:rsidRPr="00664897">
        <w:lastRenderedPageBreak/>
        <w:t>Appendix C</w:t>
      </w:r>
      <w:r w:rsidR="00367D03" w:rsidRPr="00664897">
        <w:tab/>
      </w:r>
      <w:r w:rsidR="003D2DC1" w:rsidRPr="00664897">
        <w:t xml:space="preserve">Workflow </w:t>
      </w:r>
      <w:r w:rsidR="00367D03" w:rsidRPr="00664897">
        <w:t>Notes</w:t>
      </w:r>
      <w:bookmarkEnd w:id="20"/>
      <w:r w:rsidR="00367D03" w:rsidRPr="00664897">
        <w:t xml:space="preserve"> </w:t>
      </w:r>
    </w:p>
    <w:p w14:paraId="0E6BC5E8" w14:textId="77777777" w:rsidR="00CB1F6D" w:rsidRPr="00307753" w:rsidRDefault="00CB1F6D" w:rsidP="00CB1F6D">
      <w:pPr>
        <w:spacing w:before="120" w:after="120"/>
      </w:pPr>
      <w:r w:rsidRPr="00307753">
        <w:rPr>
          <w:noProof/>
        </w:rPr>
        <w:drawing>
          <wp:inline distT="0" distB="0" distL="0" distR="0" wp14:anchorId="6426B766" wp14:editId="3C56AAB5">
            <wp:extent cx="5221215" cy="6024478"/>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5221215" cy="6024478"/>
                    </a:xfrm>
                    <a:prstGeom prst="rect">
                      <a:avLst/>
                    </a:prstGeom>
                  </pic:spPr>
                </pic:pic>
              </a:graphicData>
            </a:graphic>
          </wp:inline>
        </w:drawing>
      </w:r>
    </w:p>
    <w:p w14:paraId="5794023D" w14:textId="77777777" w:rsidR="00CB1F6D" w:rsidRPr="00307753" w:rsidRDefault="00CB1F6D" w:rsidP="00CB1F6D">
      <w:pPr>
        <w:spacing w:before="120" w:after="120"/>
        <w:jc w:val="center"/>
        <w:rPr>
          <w:rFonts w:eastAsia="Calibri" w:cs="Calibri"/>
          <w:b/>
          <w:bCs/>
          <w:sz w:val="20"/>
          <w:szCs w:val="20"/>
        </w:rPr>
      </w:pPr>
      <w:r w:rsidRPr="00307753">
        <w:rPr>
          <w:rFonts w:eastAsia="Calibri" w:cs="Calibri"/>
          <w:b/>
          <w:bCs/>
          <w:sz w:val="20"/>
          <w:szCs w:val="20"/>
        </w:rPr>
        <w:t>Figure1. Research Output Curation Workflow</w:t>
      </w:r>
    </w:p>
    <w:p w14:paraId="0B82D94B" w14:textId="00C8667C" w:rsidR="002477E2" w:rsidRPr="00307753" w:rsidRDefault="00CB1F6D" w:rsidP="003E5CDC">
      <w:pPr>
        <w:spacing w:before="120" w:after="120"/>
        <w:rPr>
          <w:rFonts w:eastAsia="Calibri" w:cs="Calibri"/>
        </w:rPr>
      </w:pPr>
      <w:r w:rsidRPr="00307753">
        <w:t xml:space="preserve">In the following notes bold curly braces </w:t>
      </w:r>
      <w:r w:rsidRPr="00307753">
        <w:rPr>
          <w:rFonts w:eastAsia="Calibri" w:cs="Calibri"/>
          <w:b/>
          <w:bCs/>
        </w:rPr>
        <w:t>{}</w:t>
      </w:r>
      <w:r w:rsidRPr="00307753">
        <w:rPr>
          <w:rFonts w:eastAsia="Calibri" w:cs="Calibri"/>
        </w:rPr>
        <w:t xml:space="preserve"> refer to elements of figure </w:t>
      </w:r>
      <w:r w:rsidR="004016A9" w:rsidRPr="00307753">
        <w:rPr>
          <w:rFonts w:eastAsia="Calibri" w:cs="Calibri"/>
        </w:rPr>
        <w:t>1.</w:t>
      </w:r>
    </w:p>
    <w:p w14:paraId="10465CA6" w14:textId="54BABE40" w:rsidR="00C42A8F" w:rsidRPr="00307753" w:rsidRDefault="004A4D73" w:rsidP="004A4D73">
      <w:pPr>
        <w:rPr>
          <w:b/>
          <w:bCs/>
        </w:rPr>
      </w:pPr>
      <w:r w:rsidRPr="00307753">
        <w:rPr>
          <w:b/>
          <w:bCs/>
        </w:rPr>
        <w:t xml:space="preserve">1 </w:t>
      </w:r>
      <w:r w:rsidR="003E5CDC" w:rsidRPr="00307753">
        <w:rPr>
          <w:b/>
          <w:bCs/>
        </w:rPr>
        <w:t xml:space="preserve">{IN} </w:t>
      </w:r>
    </w:p>
    <w:p w14:paraId="12AB5764" w14:textId="5BE58C5B" w:rsidR="003E5CDC" w:rsidRPr="00307753" w:rsidRDefault="003E5CDC" w:rsidP="003E5CDC">
      <w:pPr>
        <w:spacing w:before="120" w:after="120"/>
        <w:rPr>
          <w:rFonts w:eastAsia="Calibri" w:cs="Calibri"/>
        </w:rPr>
      </w:pPr>
      <w:r w:rsidRPr="00307753">
        <w:rPr>
          <w:rFonts w:eastAsia="Calibri" w:cs="Calibri"/>
        </w:rPr>
        <w:t>Researchers are expected to use RIS to create a record of all their research outputs, including full text deposits.</w:t>
      </w:r>
    </w:p>
    <w:p w14:paraId="524454D8" w14:textId="4B9AD9C8" w:rsidR="003E5CDC" w:rsidRPr="00307753" w:rsidRDefault="001C2D4B" w:rsidP="003E5CDC">
      <w:pPr>
        <w:spacing w:before="120" w:after="120"/>
        <w:ind w:left="720"/>
        <w:rPr>
          <w:rFonts w:eastAsia="Calibri" w:cs="Calibri"/>
        </w:rPr>
      </w:pPr>
      <w:r w:rsidRPr="00307753">
        <w:rPr>
          <w:rFonts w:eastAsia="Calibri" w:cs="Calibri"/>
          <w:b/>
          <w:bCs/>
        </w:rPr>
        <w:lastRenderedPageBreak/>
        <w:t xml:space="preserve">1.1 </w:t>
      </w:r>
      <w:r w:rsidR="003E5CDC" w:rsidRPr="00307753">
        <w:rPr>
          <w:rFonts w:eastAsia="Calibri" w:cs="Calibri"/>
          <w:b/>
          <w:bCs/>
        </w:rPr>
        <w:t xml:space="preserve">Creation: </w:t>
      </w:r>
      <w:r w:rsidR="003E5CDC" w:rsidRPr="00307753">
        <w:rPr>
          <w:rFonts w:eastAsia="Calibri" w:cs="Calibri"/>
        </w:rPr>
        <w:t xml:space="preserve">authors can create items by manual entry; by import from file; or by import from online sources, including Scopus, PubMed </w:t>
      </w:r>
      <w:r w:rsidR="008B47C5" w:rsidRPr="00307753">
        <w:rPr>
          <w:rFonts w:eastAsia="Calibri" w:cs="Calibri"/>
        </w:rPr>
        <w:t>and</w:t>
      </w:r>
      <w:r w:rsidR="003E5CDC" w:rsidRPr="00307753">
        <w:rPr>
          <w:rFonts w:eastAsia="Calibri" w:cs="Calibri"/>
        </w:rPr>
        <w:t xml:space="preserve"> ArXiv. RIS can send alerts to </w:t>
      </w:r>
      <w:r w:rsidR="00B22E76">
        <w:rPr>
          <w:rFonts w:eastAsia="Calibri" w:cs="Calibri"/>
        </w:rPr>
        <w:t>a</w:t>
      </w:r>
      <w:r w:rsidR="003E5CDC" w:rsidRPr="00307753">
        <w:rPr>
          <w:rFonts w:eastAsia="Calibri" w:cs="Calibri"/>
        </w:rPr>
        <w:t xml:space="preserve">uthors when new candidates with their affiliation are found in these sources. </w:t>
      </w:r>
    </w:p>
    <w:p w14:paraId="2277C12E" w14:textId="4A27F0FD" w:rsidR="003E5CDC" w:rsidRPr="00307753" w:rsidRDefault="003E5CDC" w:rsidP="003E5CDC">
      <w:pPr>
        <w:spacing w:before="120" w:after="120"/>
        <w:ind w:left="720"/>
        <w:rPr>
          <w:rFonts w:eastAsia="Calibri" w:cs="Calibri"/>
        </w:rPr>
      </w:pPr>
      <w:r w:rsidRPr="00307753">
        <w:rPr>
          <w:rFonts w:eastAsia="Calibri" w:cs="Calibri"/>
        </w:rPr>
        <w:t xml:space="preserve">REF2021 policy for deposit on acceptance has led to an increased reliance on inefficient manual entry, since most research outputs reach online sources subsequent to publication and </w:t>
      </w:r>
      <w:r w:rsidR="00252232" w:rsidRPr="00307753">
        <w:rPr>
          <w:rFonts w:eastAsia="Calibri" w:cs="Calibri"/>
        </w:rPr>
        <w:t>are</w:t>
      </w:r>
      <w:r w:rsidR="008B47C5" w:rsidRPr="00307753">
        <w:rPr>
          <w:rFonts w:eastAsia="Calibri" w:cs="Calibri"/>
        </w:rPr>
        <w:t xml:space="preserve">, therefore, </w:t>
      </w:r>
      <w:r w:rsidRPr="00307753">
        <w:rPr>
          <w:rFonts w:eastAsia="Calibri" w:cs="Calibri"/>
        </w:rPr>
        <w:t>not available for import on acceptance.</w:t>
      </w:r>
    </w:p>
    <w:p w14:paraId="673ACBF6" w14:textId="65B8F4A8" w:rsidR="003E5CDC" w:rsidRPr="00307753" w:rsidRDefault="001C2D4B" w:rsidP="003E5CDC">
      <w:pPr>
        <w:spacing w:before="120" w:after="120"/>
        <w:ind w:left="720"/>
        <w:rPr>
          <w:rFonts w:eastAsia="Calibri" w:cs="Calibri"/>
        </w:rPr>
      </w:pPr>
      <w:r w:rsidRPr="00307753">
        <w:rPr>
          <w:rFonts w:eastAsia="Calibri" w:cs="Calibri"/>
          <w:b/>
          <w:bCs/>
        </w:rPr>
        <w:t>1.2 Visibility</w:t>
      </w:r>
      <w:r w:rsidR="003E5CDC" w:rsidRPr="00307753">
        <w:rPr>
          <w:rFonts w:eastAsia="Calibri" w:cs="Calibri"/>
        </w:rPr>
        <w:t xml:space="preserve">: authors have control over the visibility of a record and its individual manuscript files at the point of entry. The system is configured so that unless the author chooses to hide a record or embargo a file, the research output is open and accessible immediately upon creation on their research profile at </w:t>
      </w:r>
      <w:hyperlink r:id="rId31">
        <w:r w:rsidR="003E5CDC" w:rsidRPr="00307753">
          <w:rPr>
            <w:rStyle w:val="Hyperlink"/>
            <w:rFonts w:eastAsia="Calibri" w:cs="Calibri"/>
          </w:rPr>
          <w:t>http://researchprofiles.herts.ac.uk/portal/</w:t>
        </w:r>
      </w:hyperlink>
      <w:r w:rsidR="003E5CDC" w:rsidRPr="00307753">
        <w:rPr>
          <w:rFonts w:eastAsia="Calibri" w:cs="Calibri"/>
        </w:rPr>
        <w:t xml:space="preserve">. </w:t>
      </w:r>
    </w:p>
    <w:p w14:paraId="61A5B79A" w14:textId="3D0C57DF" w:rsidR="00367D03" w:rsidRPr="00307753" w:rsidRDefault="001C2D4B" w:rsidP="002477E2">
      <w:pPr>
        <w:spacing w:before="120" w:after="120"/>
        <w:ind w:left="720"/>
        <w:rPr>
          <w:rFonts w:eastAsia="Calibri" w:cs="Calibri"/>
        </w:rPr>
      </w:pPr>
      <w:r w:rsidRPr="00307753">
        <w:rPr>
          <w:rFonts w:eastAsia="Calibri" w:cs="Calibri"/>
          <w:b/>
          <w:bCs/>
        </w:rPr>
        <w:t xml:space="preserve">1.3 </w:t>
      </w:r>
      <w:r w:rsidR="003E5CDC" w:rsidRPr="00307753">
        <w:rPr>
          <w:rFonts w:eastAsia="Calibri" w:cs="Calibri"/>
          <w:b/>
          <w:bCs/>
        </w:rPr>
        <w:t>Workflow</w:t>
      </w:r>
      <w:r w:rsidR="006D6B61" w:rsidRPr="00307753">
        <w:rPr>
          <w:rFonts w:eastAsia="Calibri" w:cs="Calibri"/>
          <w:b/>
          <w:bCs/>
        </w:rPr>
        <w:t xml:space="preserve"> Step</w:t>
      </w:r>
      <w:r w:rsidR="003E5CDC" w:rsidRPr="00307753">
        <w:rPr>
          <w:rFonts w:eastAsia="Calibri" w:cs="Calibri"/>
        </w:rPr>
        <w:t>: authors have control over the curation workflow step. The default is ‘</w:t>
      </w:r>
      <w:r w:rsidR="008B47C5" w:rsidRPr="00307753">
        <w:rPr>
          <w:rFonts w:eastAsia="Calibri" w:cs="Calibri"/>
        </w:rPr>
        <w:t>F</w:t>
      </w:r>
      <w:r w:rsidR="003E5CDC" w:rsidRPr="00307753">
        <w:rPr>
          <w:rFonts w:eastAsia="Calibri" w:cs="Calibri"/>
        </w:rPr>
        <w:t>or approval’, but authors can set ‘Entry in progress’ for items in preparation. RSC do not routinely address ‘Entry in progress’ items and it is the responsibility of authors to complete and pass these items ‘</w:t>
      </w:r>
      <w:r w:rsidR="008B47C5" w:rsidRPr="00307753">
        <w:rPr>
          <w:rFonts w:eastAsia="Calibri" w:cs="Calibri"/>
        </w:rPr>
        <w:t>F</w:t>
      </w:r>
      <w:r w:rsidR="003E5CDC" w:rsidRPr="00307753">
        <w:rPr>
          <w:rFonts w:eastAsia="Calibri" w:cs="Calibri"/>
        </w:rPr>
        <w:t>or approval’ upon acceptance.</w:t>
      </w:r>
    </w:p>
    <w:p w14:paraId="2AA01B96" w14:textId="09232D5D" w:rsidR="00BE04CF" w:rsidRPr="00307753" w:rsidRDefault="00BE04CF" w:rsidP="00C747D5">
      <w:pPr>
        <w:rPr>
          <w:b/>
          <w:bCs/>
        </w:rPr>
      </w:pPr>
      <w:r w:rsidRPr="00307753">
        <w:rPr>
          <w:b/>
          <w:bCs/>
        </w:rPr>
        <w:t xml:space="preserve">2 {Curation </w:t>
      </w:r>
      <w:r w:rsidR="00C747D5" w:rsidRPr="00307753">
        <w:rPr>
          <w:b/>
          <w:bCs/>
        </w:rPr>
        <w:t xml:space="preserve">step </w:t>
      </w:r>
      <w:r w:rsidRPr="00307753">
        <w:rPr>
          <w:b/>
          <w:bCs/>
        </w:rPr>
        <w:t xml:space="preserve">1} </w:t>
      </w:r>
    </w:p>
    <w:p w14:paraId="38BFBD45" w14:textId="0FF40895" w:rsidR="00367D03" w:rsidRPr="00307753" w:rsidRDefault="00BE04CF" w:rsidP="00367D03">
      <w:pPr>
        <w:spacing w:before="120" w:after="120"/>
        <w:rPr>
          <w:rFonts w:eastAsia="Calibri" w:cs="Calibri"/>
        </w:rPr>
      </w:pPr>
      <w:r w:rsidRPr="00307753">
        <w:rPr>
          <w:rFonts w:eastAsia="Calibri" w:cs="Calibri"/>
        </w:rPr>
        <w:t>R</w:t>
      </w:r>
      <w:r w:rsidR="00367D03" w:rsidRPr="00307753">
        <w:rPr>
          <w:rFonts w:eastAsia="Calibri" w:cs="Calibri"/>
        </w:rPr>
        <w:t xml:space="preserve">esearch outputs are assessed against </w:t>
      </w:r>
      <w:r w:rsidR="00367D03" w:rsidRPr="00307753">
        <w:rPr>
          <w:rFonts w:eastAsia="Calibri" w:cs="Calibri"/>
          <w:b/>
          <w:bCs/>
        </w:rPr>
        <w:t xml:space="preserve">{completeness criteria}, </w:t>
      </w:r>
      <w:r w:rsidR="00367D03" w:rsidRPr="00307753">
        <w:rPr>
          <w:rFonts w:eastAsia="Calibri" w:cs="Calibri"/>
        </w:rPr>
        <w:t xml:space="preserve">for example, has full dates; has manuscript; has </w:t>
      </w:r>
      <w:proofErr w:type="spellStart"/>
      <w:r w:rsidR="00367D03" w:rsidRPr="00307753">
        <w:rPr>
          <w:rFonts w:eastAsia="Calibri" w:cs="Calibri"/>
        </w:rPr>
        <w:t>doi</w:t>
      </w:r>
      <w:proofErr w:type="spellEnd"/>
      <w:r w:rsidR="00367D03" w:rsidRPr="00307753">
        <w:rPr>
          <w:rFonts w:eastAsia="Calibri" w:cs="Calibri"/>
        </w:rPr>
        <w:t xml:space="preserve"> etc. and for their status in the publication life cycle. If a</w:t>
      </w:r>
      <w:r w:rsidR="00BD3474" w:rsidRPr="00307753">
        <w:rPr>
          <w:rFonts w:eastAsia="Calibri" w:cs="Calibri"/>
        </w:rPr>
        <w:t xml:space="preserve">n </w:t>
      </w:r>
      <w:r w:rsidR="00367D03" w:rsidRPr="00307753">
        <w:rPr>
          <w:rFonts w:eastAsia="Calibri" w:cs="Calibri"/>
        </w:rPr>
        <w:t xml:space="preserve">output is incomplete or </w:t>
      </w:r>
      <w:r w:rsidR="008B47C5" w:rsidRPr="00307753">
        <w:rPr>
          <w:rFonts w:eastAsia="Calibri" w:cs="Calibri"/>
        </w:rPr>
        <w:t>not yet</w:t>
      </w:r>
      <w:r w:rsidR="00367D03" w:rsidRPr="00307753">
        <w:rPr>
          <w:rFonts w:eastAsia="Calibri" w:cs="Calibri"/>
        </w:rPr>
        <w:t xml:space="preserve"> </w:t>
      </w:r>
      <w:r w:rsidR="008B47C5" w:rsidRPr="00307753">
        <w:rPr>
          <w:rFonts w:eastAsia="Calibri" w:cs="Calibri"/>
          <w:b/>
          <w:bCs/>
        </w:rPr>
        <w:t>{</w:t>
      </w:r>
      <w:r w:rsidR="00367D03" w:rsidRPr="00307753">
        <w:rPr>
          <w:rFonts w:eastAsia="Calibri" w:cs="Calibri"/>
          <w:b/>
          <w:bCs/>
        </w:rPr>
        <w:t>accept</w:t>
      </w:r>
      <w:r w:rsidR="008B47C5" w:rsidRPr="00307753">
        <w:rPr>
          <w:rFonts w:eastAsia="Calibri" w:cs="Calibri"/>
          <w:b/>
          <w:bCs/>
        </w:rPr>
        <w:t>ed}</w:t>
      </w:r>
      <w:r w:rsidR="00367D03" w:rsidRPr="00307753">
        <w:rPr>
          <w:rFonts w:eastAsia="Calibri" w:cs="Calibri"/>
        </w:rPr>
        <w:t xml:space="preserve">, it can be returned to ‘Entry in progress’ </w:t>
      </w:r>
      <w:r w:rsidR="00367D03" w:rsidRPr="00307753">
        <w:rPr>
          <w:rFonts w:eastAsia="Calibri" w:cs="Calibri"/>
          <w:b/>
          <w:bCs/>
        </w:rPr>
        <w:t>{back to user}</w:t>
      </w:r>
      <w:r w:rsidR="00367D03" w:rsidRPr="00307753">
        <w:rPr>
          <w:rFonts w:eastAsia="Calibri" w:cs="Calibri"/>
        </w:rPr>
        <w:t xml:space="preserve"> for the further attention of the author.</w:t>
      </w:r>
    </w:p>
    <w:p w14:paraId="3D9953AA" w14:textId="4480F6E8" w:rsidR="00C747D5" w:rsidRPr="00307753" w:rsidRDefault="00C747D5" w:rsidP="00C747D5">
      <w:pPr>
        <w:rPr>
          <w:b/>
          <w:bCs/>
        </w:rPr>
      </w:pPr>
      <w:r w:rsidRPr="00307753">
        <w:rPr>
          <w:b/>
          <w:bCs/>
        </w:rPr>
        <w:t xml:space="preserve">3 {Curation step 2} </w:t>
      </w:r>
    </w:p>
    <w:p w14:paraId="2ECCD44A" w14:textId="4FDB6F2D" w:rsidR="00367D03" w:rsidRPr="00307753" w:rsidRDefault="00BE04CF" w:rsidP="00367D03">
      <w:pPr>
        <w:spacing w:before="120" w:after="120"/>
        <w:rPr>
          <w:rFonts w:eastAsia="Calibri" w:cs="Calibri"/>
        </w:rPr>
      </w:pPr>
      <w:r w:rsidRPr="00307753">
        <w:rPr>
          <w:rFonts w:eastAsia="Calibri" w:cs="Calibri"/>
        </w:rPr>
        <w:t>Research</w:t>
      </w:r>
      <w:r w:rsidR="00367D03" w:rsidRPr="00307753">
        <w:rPr>
          <w:rFonts w:eastAsia="Calibri" w:cs="Calibri"/>
        </w:rPr>
        <w:t xml:space="preserve"> outputs are finessed with aim of achieving an open, bibliographically complete record for inclusion in the institutional repository. </w:t>
      </w:r>
    </w:p>
    <w:p w14:paraId="02F8D4A8" w14:textId="2AFB9D48" w:rsidR="00367D03" w:rsidRPr="00307753" w:rsidRDefault="00BE04CF" w:rsidP="00367D03">
      <w:pPr>
        <w:spacing w:before="120" w:after="120"/>
        <w:ind w:left="720"/>
        <w:rPr>
          <w:rFonts w:eastAsia="Calibri" w:cs="Calibri"/>
        </w:rPr>
      </w:pPr>
      <w:r w:rsidRPr="00307753">
        <w:rPr>
          <w:rFonts w:eastAsia="Calibri" w:cs="Calibri"/>
          <w:b/>
          <w:bCs/>
        </w:rPr>
        <w:t xml:space="preserve">3.1 </w:t>
      </w:r>
      <w:r w:rsidR="00367D03" w:rsidRPr="00307753">
        <w:rPr>
          <w:rFonts w:eastAsia="Calibri" w:cs="Calibri"/>
          <w:b/>
          <w:bCs/>
        </w:rPr>
        <w:t xml:space="preserve">Data Quality: </w:t>
      </w:r>
      <w:r w:rsidR="00367D03" w:rsidRPr="00307753">
        <w:rPr>
          <w:rFonts w:eastAsia="Calibri" w:cs="Calibri"/>
        </w:rPr>
        <w:t xml:space="preserve">We make our best attempt to acquire accurate data. Research Output records are compared with public domain metadata sources. These sources include Publisher/Journal websites, Scopus, </w:t>
      </w:r>
      <w:proofErr w:type="spellStart"/>
      <w:r w:rsidR="00367D03" w:rsidRPr="00307753">
        <w:rPr>
          <w:rFonts w:eastAsia="Calibri" w:cs="Calibri"/>
        </w:rPr>
        <w:t>ArXiV</w:t>
      </w:r>
      <w:proofErr w:type="spellEnd"/>
      <w:r w:rsidR="00367D03" w:rsidRPr="00307753">
        <w:rPr>
          <w:rFonts w:eastAsia="Calibri" w:cs="Calibri"/>
        </w:rPr>
        <w:t xml:space="preserve">, </w:t>
      </w:r>
      <w:proofErr w:type="spellStart"/>
      <w:r w:rsidR="00367D03" w:rsidRPr="00307753">
        <w:rPr>
          <w:rFonts w:eastAsia="Calibri" w:cs="Calibri"/>
        </w:rPr>
        <w:t>Pubmed</w:t>
      </w:r>
      <w:proofErr w:type="spellEnd"/>
      <w:r w:rsidR="00367D03" w:rsidRPr="00307753">
        <w:rPr>
          <w:rFonts w:eastAsia="Calibri" w:cs="Calibri"/>
        </w:rPr>
        <w:t>, and other institutional repositories.</w:t>
      </w:r>
    </w:p>
    <w:p w14:paraId="1B0C202A" w14:textId="77777777" w:rsidR="008513BA" w:rsidRPr="00307753" w:rsidRDefault="00367D03" w:rsidP="00367D03">
      <w:pPr>
        <w:spacing w:before="120" w:after="120"/>
        <w:ind w:left="720"/>
        <w:rPr>
          <w:rFonts w:eastAsia="Calibri" w:cs="Calibri"/>
        </w:rPr>
      </w:pPr>
      <w:r w:rsidRPr="00307753">
        <w:rPr>
          <w:rFonts w:eastAsia="Calibri" w:cs="Calibri"/>
        </w:rPr>
        <w:t xml:space="preserve">We regard the metadata found on Publisher/Journal websites as authoritative. Where author entered metadata and published metadata disagree, we use the latter </w:t>
      </w:r>
      <w:r w:rsidR="008513BA" w:rsidRPr="00307753">
        <w:rPr>
          <w:rFonts w:eastAsia="Calibri" w:cs="Calibri"/>
        </w:rPr>
        <w:t xml:space="preserve">- </w:t>
      </w:r>
      <w:r w:rsidRPr="00307753">
        <w:rPr>
          <w:rFonts w:eastAsia="Calibri" w:cs="Calibri"/>
        </w:rPr>
        <w:t xml:space="preserve">unless there is a strong case to the contrary. </w:t>
      </w:r>
    </w:p>
    <w:p w14:paraId="1F02E63C" w14:textId="068FE34E" w:rsidR="00367D03" w:rsidRPr="00307753" w:rsidRDefault="00036042" w:rsidP="00367D03">
      <w:pPr>
        <w:spacing w:before="120" w:after="120"/>
        <w:ind w:left="720"/>
        <w:rPr>
          <w:rFonts w:eastAsia="Calibri" w:cs="Calibri"/>
        </w:rPr>
      </w:pPr>
      <w:r w:rsidRPr="00307753">
        <w:rPr>
          <w:rFonts w:eastAsia="Calibri" w:cs="Calibri"/>
        </w:rPr>
        <w:t>Where a full publication date dd/mm/</w:t>
      </w:r>
      <w:proofErr w:type="spellStart"/>
      <w:r w:rsidRPr="00307753">
        <w:rPr>
          <w:rFonts w:eastAsia="Calibri" w:cs="Calibri"/>
        </w:rPr>
        <w:t>yyyy</w:t>
      </w:r>
      <w:proofErr w:type="spellEnd"/>
      <w:r w:rsidRPr="00307753">
        <w:rPr>
          <w:rFonts w:eastAsia="Calibri" w:cs="Calibri"/>
        </w:rPr>
        <w:t xml:space="preserve"> </w:t>
      </w:r>
      <w:r w:rsidR="00157807">
        <w:rPr>
          <w:rFonts w:eastAsia="Calibri" w:cs="Calibri"/>
        </w:rPr>
        <w:t xml:space="preserve">is not available </w:t>
      </w:r>
      <w:r w:rsidR="00367D03" w:rsidRPr="00307753">
        <w:rPr>
          <w:rFonts w:eastAsia="Calibri" w:cs="Calibri"/>
        </w:rPr>
        <w:t xml:space="preserve">we use day 1 of whichever month or period we can identify. </w:t>
      </w:r>
    </w:p>
    <w:p w14:paraId="4D473DED" w14:textId="618BD538" w:rsidR="00367D03" w:rsidRPr="00307753" w:rsidRDefault="00D92435" w:rsidP="00367D03">
      <w:pPr>
        <w:spacing w:before="120" w:after="120"/>
        <w:ind w:left="720"/>
        <w:rPr>
          <w:rFonts w:eastAsia="Calibri" w:cs="Calibri"/>
        </w:rPr>
      </w:pPr>
      <w:r w:rsidRPr="00307753">
        <w:rPr>
          <w:rFonts w:eastAsia="Calibri" w:cs="Calibri"/>
          <w:b/>
          <w:bCs/>
        </w:rPr>
        <w:t>3.2 Deposited</w:t>
      </w:r>
      <w:r w:rsidR="00367D03" w:rsidRPr="00307753">
        <w:rPr>
          <w:rFonts w:eastAsia="Calibri" w:cs="Calibri"/>
          <w:b/>
          <w:bCs/>
        </w:rPr>
        <w:t xml:space="preserve"> manuscripts:</w:t>
      </w:r>
      <w:r w:rsidR="00367D03" w:rsidRPr="00307753">
        <w:rPr>
          <w:rFonts w:eastAsia="Calibri" w:cs="Calibri"/>
        </w:rPr>
        <w:t xml:space="preserve"> We make best effort to satisfy publisher’s expectations for deposited manuscripts. We use SHERPA Romeo, UK-CORR community resources, and publisher websites to ascertain permissions and embargo periods. Where we are unable to ascertain permissions (most often for conference contributions) we ask the publisher using a standard form of words; and add any returned information to community resources. </w:t>
      </w:r>
    </w:p>
    <w:p w14:paraId="411F8B6F" w14:textId="70279C52" w:rsidR="00367D03" w:rsidRPr="00307753" w:rsidRDefault="00BE04CF" w:rsidP="00367D03">
      <w:pPr>
        <w:spacing w:before="120" w:after="120"/>
        <w:ind w:left="720"/>
        <w:rPr>
          <w:rFonts w:eastAsia="Calibri" w:cs="Calibri"/>
        </w:rPr>
      </w:pPr>
      <w:r w:rsidRPr="00307753">
        <w:rPr>
          <w:rFonts w:eastAsia="Calibri" w:cs="Calibri"/>
          <w:b/>
          <w:bCs/>
        </w:rPr>
        <w:t xml:space="preserve">3.3 </w:t>
      </w:r>
      <w:r w:rsidR="00367D03" w:rsidRPr="00307753">
        <w:rPr>
          <w:rFonts w:eastAsia="Calibri" w:cs="Calibri"/>
          <w:b/>
          <w:bCs/>
        </w:rPr>
        <w:t xml:space="preserve">Repository Criteria: </w:t>
      </w:r>
      <w:r w:rsidR="00367D03" w:rsidRPr="00307753">
        <w:rPr>
          <w:rFonts w:eastAsia="Calibri" w:cs="Calibri"/>
        </w:rPr>
        <w:t xml:space="preserve">the criteria for inclusion in UHRA are: </w:t>
      </w:r>
    </w:p>
    <w:p w14:paraId="7234EF19" w14:textId="77777777" w:rsidR="00367D03" w:rsidRPr="00307753" w:rsidRDefault="00367D03" w:rsidP="00367D03">
      <w:pPr>
        <w:pStyle w:val="ListParagraph"/>
        <w:numPr>
          <w:ilvl w:val="1"/>
          <w:numId w:val="5"/>
        </w:numPr>
        <w:spacing w:before="120" w:after="120" w:line="240" w:lineRule="auto"/>
      </w:pPr>
      <w:r w:rsidRPr="00307753">
        <w:rPr>
          <w:rFonts w:eastAsia="Calibri" w:cs="Calibri"/>
        </w:rPr>
        <w:t xml:space="preserve">published, online or in print (including In-Press where the publisher makes the accepted version available); </w:t>
      </w:r>
    </w:p>
    <w:p w14:paraId="73C580C0" w14:textId="77777777" w:rsidR="00367D03" w:rsidRPr="00307753" w:rsidRDefault="00367D03" w:rsidP="00367D03">
      <w:pPr>
        <w:pStyle w:val="ListParagraph"/>
        <w:numPr>
          <w:ilvl w:val="1"/>
          <w:numId w:val="5"/>
        </w:numPr>
        <w:spacing w:before="120" w:after="120" w:line="240" w:lineRule="auto"/>
      </w:pPr>
      <w:r w:rsidRPr="00307753">
        <w:rPr>
          <w:rFonts w:eastAsia="Calibri" w:cs="Calibri"/>
        </w:rPr>
        <w:lastRenderedPageBreak/>
        <w:t xml:space="preserve">an author with a current association to the University of Hertfordshire contributed to the work; </w:t>
      </w:r>
    </w:p>
    <w:p w14:paraId="7AE92A86" w14:textId="77777777" w:rsidR="00367D03" w:rsidRPr="00307753" w:rsidRDefault="00367D03" w:rsidP="00367D03">
      <w:pPr>
        <w:pStyle w:val="ListParagraph"/>
        <w:numPr>
          <w:ilvl w:val="1"/>
          <w:numId w:val="5"/>
        </w:numPr>
        <w:spacing w:after="120" w:line="240" w:lineRule="auto"/>
      </w:pPr>
      <w:r w:rsidRPr="00307753">
        <w:rPr>
          <w:rFonts w:eastAsia="Calibri" w:cs="Calibri"/>
        </w:rPr>
        <w:t>an open or embargoed full text manuscript is included.</w:t>
      </w:r>
    </w:p>
    <w:p w14:paraId="5E1162B8" w14:textId="49700241" w:rsidR="00367D03" w:rsidRPr="00307753" w:rsidRDefault="00367D03" w:rsidP="00367D03">
      <w:pPr>
        <w:spacing w:before="120" w:after="120"/>
        <w:ind w:left="720"/>
        <w:rPr>
          <w:rFonts w:eastAsia="Calibri" w:cs="Calibri"/>
        </w:rPr>
      </w:pPr>
      <w:r w:rsidRPr="00307753">
        <w:rPr>
          <w:rFonts w:eastAsia="Calibri" w:cs="Calibri"/>
        </w:rPr>
        <w:t>In some cases, where the expectation of a manuscript is not appropriate, or a permanent metadata only record is desirable, a record with only an abstract or extended description may also be transferred</w:t>
      </w:r>
      <w:r w:rsidR="008F3F65" w:rsidRPr="00307753">
        <w:rPr>
          <w:rFonts w:eastAsia="Calibri" w:cs="Calibri"/>
        </w:rPr>
        <w:t xml:space="preserve"> to UHRA</w:t>
      </w:r>
      <w:r w:rsidRPr="00307753">
        <w:rPr>
          <w:rFonts w:eastAsia="Calibri" w:cs="Calibri"/>
        </w:rPr>
        <w:t>.</w:t>
      </w:r>
    </w:p>
    <w:p w14:paraId="5C05196A" w14:textId="293FEB5A" w:rsidR="00367D03" w:rsidRPr="00307753" w:rsidRDefault="00BE04CF" w:rsidP="00E71736">
      <w:pPr>
        <w:spacing w:before="120" w:after="120"/>
        <w:ind w:left="720"/>
        <w:rPr>
          <w:rFonts w:eastAsia="Calibri" w:cs="Calibri"/>
        </w:rPr>
      </w:pPr>
      <w:r w:rsidRPr="00307753">
        <w:rPr>
          <w:rFonts w:eastAsia="Calibri" w:cs="Calibri"/>
          <w:b/>
          <w:bCs/>
        </w:rPr>
        <w:t xml:space="preserve">3.4 </w:t>
      </w:r>
      <w:r w:rsidR="00367D03" w:rsidRPr="00307753">
        <w:rPr>
          <w:rFonts w:eastAsia="Calibri" w:cs="Calibri"/>
          <w:b/>
          <w:bCs/>
        </w:rPr>
        <w:t xml:space="preserve">Waiting ‘In press’: </w:t>
      </w:r>
      <w:r w:rsidR="00367D03" w:rsidRPr="00307753">
        <w:rPr>
          <w:rFonts w:eastAsia="Calibri" w:cs="Calibri"/>
        </w:rPr>
        <w:t xml:space="preserve">unpublished research outputs or those awaiting </w:t>
      </w:r>
      <w:r w:rsidR="00BB1E7F" w:rsidRPr="00307753">
        <w:rPr>
          <w:rFonts w:eastAsia="Calibri" w:cs="Calibri"/>
        </w:rPr>
        <w:t xml:space="preserve">confirmation </w:t>
      </w:r>
      <w:r w:rsidR="00F22222">
        <w:rPr>
          <w:rFonts w:eastAsia="Calibri" w:cs="Calibri"/>
        </w:rPr>
        <w:t xml:space="preserve">of </w:t>
      </w:r>
      <w:r w:rsidR="00367D03" w:rsidRPr="00307753">
        <w:rPr>
          <w:rFonts w:eastAsia="Calibri" w:cs="Calibri"/>
        </w:rPr>
        <w:t xml:space="preserve">REF OA policy compliance </w:t>
      </w:r>
      <w:r w:rsidR="00BB1E7F" w:rsidRPr="00307753">
        <w:rPr>
          <w:rFonts w:eastAsia="Calibri" w:cs="Calibri"/>
        </w:rPr>
        <w:t xml:space="preserve">status </w:t>
      </w:r>
      <w:r w:rsidR="00367D03" w:rsidRPr="00307753">
        <w:rPr>
          <w:rFonts w:eastAsia="Calibri" w:cs="Calibri"/>
        </w:rPr>
        <w:t xml:space="preserve">remain at ‘for approval’ until </w:t>
      </w:r>
      <w:r w:rsidR="00367D03" w:rsidRPr="00F54191">
        <w:rPr>
          <w:rFonts w:eastAsia="Calibri" w:cs="Calibri"/>
          <w:b/>
          <w:bCs/>
        </w:rPr>
        <w:t>{Published}</w:t>
      </w:r>
      <w:r w:rsidR="00367D03" w:rsidRPr="00307753">
        <w:rPr>
          <w:rFonts w:eastAsia="Calibri" w:cs="Calibri"/>
        </w:rPr>
        <w:t xml:space="preserve"> and</w:t>
      </w:r>
      <w:r w:rsidR="00E71736" w:rsidRPr="00307753">
        <w:rPr>
          <w:rFonts w:eastAsia="Calibri" w:cs="Calibri"/>
        </w:rPr>
        <w:t>/or</w:t>
      </w:r>
      <w:r w:rsidR="00367D03" w:rsidRPr="00307753">
        <w:rPr>
          <w:rFonts w:eastAsia="Calibri" w:cs="Calibri"/>
        </w:rPr>
        <w:t xml:space="preserve"> compliance is ascertained (see</w:t>
      </w:r>
      <w:r w:rsidR="00E71736" w:rsidRPr="00307753">
        <w:rPr>
          <w:rFonts w:eastAsia="Calibri" w:cs="Calibri"/>
        </w:rPr>
        <w:t xml:space="preserve"> </w:t>
      </w:r>
      <w:r w:rsidR="00E71736" w:rsidRPr="00307753">
        <w:rPr>
          <w:rFonts w:eastAsia="Calibri" w:cs="Calibri"/>
          <w:b/>
          <w:bCs/>
        </w:rPr>
        <w:t>{</w:t>
      </w:r>
      <w:r w:rsidR="00367D03" w:rsidRPr="00307753">
        <w:rPr>
          <w:rFonts w:eastAsia="Calibri" w:cs="Calibri"/>
          <w:b/>
          <w:bCs/>
        </w:rPr>
        <w:t>REF check</w:t>
      </w:r>
      <w:r w:rsidR="00E71736" w:rsidRPr="00307753">
        <w:rPr>
          <w:rFonts w:eastAsia="Calibri" w:cs="Calibri"/>
          <w:b/>
          <w:bCs/>
        </w:rPr>
        <w:t>}</w:t>
      </w:r>
      <w:r w:rsidR="00E71736" w:rsidRPr="00307753">
        <w:rPr>
          <w:rFonts w:eastAsia="Calibri" w:cs="Calibri"/>
        </w:rPr>
        <w:t>,</w:t>
      </w:r>
      <w:r w:rsidR="00367D03" w:rsidRPr="00307753">
        <w:rPr>
          <w:rFonts w:eastAsia="Calibri" w:cs="Calibri"/>
        </w:rPr>
        <w:t xml:space="preserve"> below).  An integration between RIS and Scopus offers post–publication updates for approximately 80% of our research outputs, but these are not timely enough to be relied upon for REF2021 purposes, leading to repeated manual checking for publication. </w:t>
      </w:r>
    </w:p>
    <w:p w14:paraId="4AACD8EA" w14:textId="50A0253D" w:rsidR="00367D03" w:rsidRPr="00307753" w:rsidRDefault="00BE04CF" w:rsidP="00367D03">
      <w:pPr>
        <w:spacing w:before="120" w:after="120"/>
        <w:ind w:left="720"/>
        <w:rPr>
          <w:rFonts w:eastAsia="Calibri" w:cs="Calibri"/>
        </w:rPr>
      </w:pPr>
      <w:r w:rsidRPr="00307753">
        <w:rPr>
          <w:rFonts w:eastAsia="Calibri" w:cs="Calibri"/>
          <w:b/>
          <w:bCs/>
        </w:rPr>
        <w:t xml:space="preserve">3.4 </w:t>
      </w:r>
      <w:r w:rsidR="00367D03" w:rsidRPr="00307753">
        <w:rPr>
          <w:rFonts w:eastAsia="Calibri" w:cs="Calibri"/>
          <w:b/>
          <w:bCs/>
        </w:rPr>
        <w:t xml:space="preserve">Approval: </w:t>
      </w:r>
      <w:r w:rsidR="00367D03" w:rsidRPr="00307753">
        <w:rPr>
          <w:rFonts w:eastAsia="Calibri" w:cs="Calibri"/>
        </w:rPr>
        <w:t>If the repository criteria are met, research output metadata is copied to a new item on UHRA. The attached file is transferred out of RIS and into UHRA. The corresponding RIS record remains visible on</w:t>
      </w:r>
      <w:r w:rsidR="00EF24F9" w:rsidRPr="00307753">
        <w:rPr>
          <w:rFonts w:eastAsia="Calibri" w:cs="Calibri"/>
        </w:rPr>
        <w:t xml:space="preserve"> </w:t>
      </w:r>
      <w:r w:rsidR="00367D03" w:rsidRPr="00307753">
        <w:rPr>
          <w:rFonts w:eastAsia="Calibri" w:cs="Calibri"/>
        </w:rPr>
        <w:t>research profiles</w:t>
      </w:r>
      <w:r w:rsidR="00EF24F9" w:rsidRPr="00307753">
        <w:rPr>
          <w:rFonts w:eastAsia="Calibri" w:cs="Calibri"/>
        </w:rPr>
        <w:t xml:space="preserve"> (RIS portal)</w:t>
      </w:r>
      <w:r w:rsidR="00367D03" w:rsidRPr="00307753">
        <w:rPr>
          <w:rFonts w:eastAsia="Calibri" w:cs="Calibri"/>
        </w:rPr>
        <w:t>, but attached files, which are displayed on both systems</w:t>
      </w:r>
      <w:r w:rsidR="00EF24F9" w:rsidRPr="00307753">
        <w:rPr>
          <w:rFonts w:eastAsia="Calibri" w:cs="Calibri"/>
        </w:rPr>
        <w:t>,</w:t>
      </w:r>
      <w:r w:rsidR="00367D03" w:rsidRPr="00307753">
        <w:rPr>
          <w:rFonts w:eastAsia="Calibri" w:cs="Calibri"/>
        </w:rPr>
        <w:t xml:space="preserve"> are served</w:t>
      </w:r>
      <w:r w:rsidR="00EF24F9" w:rsidRPr="00307753">
        <w:rPr>
          <w:rFonts w:eastAsia="Calibri" w:cs="Calibri"/>
        </w:rPr>
        <w:t xml:space="preserve"> </w:t>
      </w:r>
      <w:r w:rsidR="00367D03" w:rsidRPr="00307753">
        <w:rPr>
          <w:rFonts w:eastAsia="Calibri" w:cs="Calibri"/>
        </w:rPr>
        <w:t>from UHRA.  UHRA manages the release of embargoed material automatically. Updates to the source records on RIS are updated in UHRA once re-validated.</w:t>
      </w:r>
    </w:p>
    <w:p w14:paraId="640A67F1" w14:textId="46E3DBCE" w:rsidR="00367D03" w:rsidRPr="00307753" w:rsidRDefault="00367D03" w:rsidP="00367D03">
      <w:pPr>
        <w:spacing w:before="120" w:after="120"/>
        <w:ind w:left="720"/>
        <w:rPr>
          <w:rFonts w:eastAsia="Calibri" w:cs="Calibri"/>
        </w:rPr>
      </w:pPr>
      <w:r w:rsidRPr="00307753">
        <w:rPr>
          <w:rFonts w:eastAsia="Calibri" w:cs="Calibri"/>
        </w:rPr>
        <w:t xml:space="preserve">If a record does not meet the repository criteria it is </w:t>
      </w:r>
      <w:r w:rsidR="009A50FB" w:rsidRPr="00307753">
        <w:rPr>
          <w:rFonts w:eastAsia="Calibri" w:cs="Calibri"/>
        </w:rPr>
        <w:t xml:space="preserve">still </w:t>
      </w:r>
      <w:r w:rsidRPr="00307753">
        <w:rPr>
          <w:rFonts w:eastAsia="Calibri" w:cs="Calibri"/>
        </w:rPr>
        <w:t>approved</w:t>
      </w:r>
      <w:r w:rsidR="00AA212F">
        <w:rPr>
          <w:rFonts w:eastAsia="Calibri" w:cs="Calibri"/>
        </w:rPr>
        <w:t>,</w:t>
      </w:r>
      <w:r w:rsidRPr="00307753">
        <w:rPr>
          <w:rFonts w:eastAsia="Calibri" w:cs="Calibri"/>
        </w:rPr>
        <w:t xml:space="preserve"> but not transferred. It remains visible on the author’s research profile. </w:t>
      </w:r>
    </w:p>
    <w:p w14:paraId="25E2A526" w14:textId="460475CE" w:rsidR="00E545FB" w:rsidRPr="00307753" w:rsidRDefault="00367D03" w:rsidP="00820FF7">
      <w:pPr>
        <w:rPr>
          <w:b/>
          <w:bCs/>
        </w:rPr>
      </w:pPr>
      <w:r w:rsidRPr="00307753">
        <w:rPr>
          <w:b/>
          <w:bCs/>
        </w:rPr>
        <w:t xml:space="preserve">4 {REF check} </w:t>
      </w:r>
    </w:p>
    <w:p w14:paraId="7E4267B5" w14:textId="31109EA6" w:rsidR="00367D03" w:rsidRPr="00307753" w:rsidRDefault="00367D03" w:rsidP="00367D03">
      <w:pPr>
        <w:spacing w:before="120" w:after="120"/>
        <w:rPr>
          <w:rFonts w:eastAsia="Calibri" w:cs="Calibri"/>
        </w:rPr>
      </w:pPr>
      <w:r w:rsidRPr="00307753">
        <w:rPr>
          <w:rFonts w:eastAsia="Calibri" w:cs="Calibri"/>
        </w:rPr>
        <w:t xml:space="preserve">RIS has a flag for REF OA compliance status </w:t>
      </w:r>
      <w:r w:rsidR="00820FF7" w:rsidRPr="00307753">
        <w:rPr>
          <w:rFonts w:eastAsia="Calibri" w:cs="Calibri"/>
        </w:rPr>
        <w:t>on</w:t>
      </w:r>
      <w:r w:rsidRPr="00307753">
        <w:rPr>
          <w:rFonts w:eastAsia="Calibri" w:cs="Calibri"/>
        </w:rPr>
        <w:t xml:space="preserve"> each record. </w:t>
      </w:r>
    </w:p>
    <w:p w14:paraId="54917ED1" w14:textId="68294FEB" w:rsidR="00367D03" w:rsidRPr="00307753" w:rsidRDefault="00E545FB" w:rsidP="00592DD2">
      <w:pPr>
        <w:spacing w:before="120" w:after="120"/>
        <w:ind w:left="720"/>
        <w:rPr>
          <w:rFonts w:eastAsia="Calibri" w:cs="Calibri"/>
        </w:rPr>
      </w:pPr>
      <w:r w:rsidRPr="00307753">
        <w:rPr>
          <w:rFonts w:eastAsia="Calibri" w:cs="Calibri"/>
          <w:b/>
          <w:bCs/>
        </w:rPr>
        <w:t xml:space="preserve">4.1 </w:t>
      </w:r>
      <w:r w:rsidR="00367D03" w:rsidRPr="00307753">
        <w:rPr>
          <w:rFonts w:eastAsia="Calibri" w:cs="Calibri"/>
          <w:b/>
          <w:bCs/>
        </w:rPr>
        <w:t>Scope of the policy</w:t>
      </w:r>
      <w:r w:rsidR="00367D03" w:rsidRPr="00307753">
        <w:rPr>
          <w:rFonts w:eastAsia="Calibri" w:cs="Calibri"/>
        </w:rPr>
        <w:t>: Research outputs are made in or out of scope automatically by RIS</w:t>
      </w:r>
      <w:r w:rsidR="00C03E55" w:rsidRPr="00307753">
        <w:rPr>
          <w:rFonts w:eastAsia="Calibri" w:cs="Calibri"/>
        </w:rPr>
        <w:t>,</w:t>
      </w:r>
      <w:r w:rsidR="00367D03" w:rsidRPr="00307753">
        <w:rPr>
          <w:rFonts w:eastAsia="Calibri" w:cs="Calibri"/>
        </w:rPr>
        <w:t xml:space="preserve"> based on </w:t>
      </w:r>
      <w:r w:rsidR="00C03E55" w:rsidRPr="00307753">
        <w:rPr>
          <w:rFonts w:eastAsia="Calibri" w:cs="Calibri"/>
        </w:rPr>
        <w:t xml:space="preserve">the type of </w:t>
      </w:r>
      <w:r w:rsidR="00367D03" w:rsidRPr="00307753">
        <w:rPr>
          <w:rFonts w:eastAsia="Calibri" w:cs="Calibri"/>
        </w:rPr>
        <w:t xml:space="preserve">output and </w:t>
      </w:r>
      <w:r w:rsidR="00C03E55" w:rsidRPr="00307753">
        <w:rPr>
          <w:rFonts w:eastAsia="Calibri" w:cs="Calibri"/>
        </w:rPr>
        <w:t xml:space="preserve">its </w:t>
      </w:r>
      <w:r w:rsidR="00367D03" w:rsidRPr="00307753">
        <w:rPr>
          <w:rFonts w:eastAsia="Calibri" w:cs="Calibri"/>
        </w:rPr>
        <w:t xml:space="preserve">date. </w:t>
      </w:r>
    </w:p>
    <w:p w14:paraId="65BEDDDA" w14:textId="344150EC" w:rsidR="00C03E55" w:rsidRPr="00307753" w:rsidRDefault="00E545FB" w:rsidP="00C03E55">
      <w:pPr>
        <w:spacing w:before="120" w:after="120"/>
        <w:ind w:left="720"/>
        <w:rPr>
          <w:rFonts w:eastAsia="Calibri" w:cs="Calibri"/>
        </w:rPr>
      </w:pPr>
      <w:r w:rsidRPr="00307753">
        <w:rPr>
          <w:rFonts w:eastAsia="Calibri" w:cs="Calibri"/>
          <w:b/>
          <w:bCs/>
        </w:rPr>
        <w:t xml:space="preserve">4.2 </w:t>
      </w:r>
      <w:r w:rsidR="00367D03" w:rsidRPr="00307753">
        <w:rPr>
          <w:rFonts w:eastAsia="Calibri" w:cs="Calibri"/>
          <w:b/>
          <w:bCs/>
        </w:rPr>
        <w:t xml:space="preserve">Compliance calculation: </w:t>
      </w:r>
      <w:r w:rsidR="00C03E55" w:rsidRPr="00307753">
        <w:rPr>
          <w:rFonts w:eastAsia="Calibri" w:cs="Calibri"/>
        </w:rPr>
        <w:t>The system checks compliance status by considering acceptance date</w:t>
      </w:r>
      <w:r w:rsidR="000F2887" w:rsidRPr="00307753">
        <w:rPr>
          <w:rFonts w:eastAsia="Calibri" w:cs="Calibri"/>
        </w:rPr>
        <w:t>;</w:t>
      </w:r>
      <w:r w:rsidR="00C03E55" w:rsidRPr="00307753">
        <w:rPr>
          <w:rFonts w:eastAsia="Calibri" w:cs="Calibri"/>
        </w:rPr>
        <w:t xml:space="preserve"> publication date, attached document version, and visibility and/or embargo period of the attachment</w:t>
      </w:r>
      <w:r w:rsidR="000F2887" w:rsidRPr="00307753">
        <w:rPr>
          <w:rFonts w:eastAsia="Calibri" w:cs="Calibri"/>
        </w:rPr>
        <w:t>.</w:t>
      </w:r>
    </w:p>
    <w:p w14:paraId="22DCCA13" w14:textId="77777777" w:rsidR="002167FB" w:rsidRPr="00307753" w:rsidRDefault="00367D03" w:rsidP="00EC7E26">
      <w:pPr>
        <w:spacing w:before="120" w:after="120"/>
        <w:ind w:left="720"/>
        <w:rPr>
          <w:rFonts w:eastAsia="Calibri" w:cs="Calibri"/>
        </w:rPr>
      </w:pPr>
      <w:r w:rsidRPr="00307753">
        <w:rPr>
          <w:rFonts w:eastAsia="Calibri" w:cs="Calibri"/>
          <w:i/>
          <w:iCs/>
        </w:rPr>
        <w:t xml:space="preserve">The calculation depends on </w:t>
      </w:r>
      <w:r w:rsidR="00A664DE" w:rsidRPr="00307753">
        <w:rPr>
          <w:rFonts w:eastAsia="Calibri" w:cs="Calibri"/>
          <w:i/>
          <w:iCs/>
        </w:rPr>
        <w:t xml:space="preserve">an </w:t>
      </w:r>
      <w:r w:rsidRPr="00307753">
        <w:rPr>
          <w:rFonts w:eastAsia="Calibri" w:cs="Calibri"/>
          <w:i/>
          <w:iCs/>
        </w:rPr>
        <w:t>accurate and</w:t>
      </w:r>
      <w:r w:rsidR="000F2887" w:rsidRPr="00307753">
        <w:rPr>
          <w:rFonts w:eastAsia="Calibri" w:cs="Calibri"/>
          <w:i/>
          <w:iCs/>
        </w:rPr>
        <w:t xml:space="preserve"> </w:t>
      </w:r>
      <w:r w:rsidRPr="00307753">
        <w:rPr>
          <w:rFonts w:eastAsia="Calibri" w:cs="Calibri"/>
          <w:i/>
          <w:iCs/>
        </w:rPr>
        <w:t xml:space="preserve">full acceptance </w:t>
      </w:r>
      <w:r w:rsidR="00BE6689" w:rsidRPr="00307753">
        <w:rPr>
          <w:rFonts w:eastAsia="Calibri" w:cs="Calibri"/>
          <w:i/>
          <w:iCs/>
        </w:rPr>
        <w:t>date</w:t>
      </w:r>
      <w:r w:rsidRPr="00307753">
        <w:rPr>
          <w:rFonts w:eastAsia="Calibri" w:cs="Calibri"/>
          <w:i/>
          <w:iCs/>
        </w:rPr>
        <w:t>.</w:t>
      </w:r>
      <w:r w:rsidRPr="00307753">
        <w:rPr>
          <w:rFonts w:eastAsia="Calibri" w:cs="Calibri"/>
        </w:rPr>
        <w:t xml:space="preserve">  Our experience shows acceptance date is only available in the public domain for about 50% of journal articles</w:t>
      </w:r>
      <w:r w:rsidR="00EC7E26" w:rsidRPr="00307753">
        <w:rPr>
          <w:rFonts w:eastAsia="Calibri" w:cs="Calibri"/>
        </w:rPr>
        <w:t>,</w:t>
      </w:r>
      <w:r w:rsidRPr="00307753">
        <w:rPr>
          <w:rFonts w:eastAsia="Calibri" w:cs="Calibri"/>
        </w:rPr>
        <w:t xml:space="preserve"> and much less often for conference contributions. In the absence of an authoritative acceptance date, we </w:t>
      </w:r>
      <w:r w:rsidR="000E2B89" w:rsidRPr="00307753">
        <w:rPr>
          <w:rFonts w:eastAsia="Calibri" w:cs="Calibri"/>
        </w:rPr>
        <w:t>rely</w:t>
      </w:r>
      <w:r w:rsidRPr="00307753">
        <w:rPr>
          <w:rFonts w:eastAsia="Calibri" w:cs="Calibri"/>
        </w:rPr>
        <w:t xml:space="preserve"> </w:t>
      </w:r>
      <w:r w:rsidR="0037515D" w:rsidRPr="00307753">
        <w:rPr>
          <w:rFonts w:eastAsia="Calibri" w:cs="Calibri"/>
        </w:rPr>
        <w:t xml:space="preserve">on </w:t>
      </w:r>
      <w:r w:rsidRPr="00307753">
        <w:rPr>
          <w:rFonts w:eastAsia="Calibri" w:cs="Calibri"/>
        </w:rPr>
        <w:t>author entered data. Non-corresponding co-authors often find acquiring acceptance date difficult.</w:t>
      </w:r>
    </w:p>
    <w:p w14:paraId="00BC920A" w14:textId="58D234F9" w:rsidR="00E2789E" w:rsidRPr="00307753" w:rsidRDefault="00E2789E" w:rsidP="00E2789E">
      <w:pPr>
        <w:spacing w:before="120" w:after="120"/>
        <w:ind w:left="720"/>
        <w:rPr>
          <w:rFonts w:eastAsia="Calibri" w:cs="Calibri"/>
        </w:rPr>
      </w:pPr>
      <w:r w:rsidRPr="00307753">
        <w:rPr>
          <w:rFonts w:eastAsia="Calibri" w:cs="Calibri"/>
        </w:rPr>
        <w:t>For conference items we use the last day of the event for both acceptance date and publication date</w:t>
      </w:r>
      <w:r w:rsidR="000E51F0" w:rsidRPr="00307753">
        <w:rPr>
          <w:rFonts w:eastAsia="Calibri" w:cs="Calibri"/>
        </w:rPr>
        <w:t xml:space="preserve">, </w:t>
      </w:r>
      <w:r w:rsidR="006A72D6" w:rsidRPr="00307753">
        <w:rPr>
          <w:rFonts w:eastAsia="Calibri" w:cs="Calibri"/>
        </w:rPr>
        <w:t>unless</w:t>
      </w:r>
      <w:r w:rsidR="000E51F0" w:rsidRPr="00307753">
        <w:rPr>
          <w:rFonts w:eastAsia="Calibri" w:cs="Calibri"/>
        </w:rPr>
        <w:t xml:space="preserve"> there is publisher metadata to the contrary. </w:t>
      </w:r>
    </w:p>
    <w:p w14:paraId="38E55D3D" w14:textId="2C6DBA86" w:rsidR="002167FB" w:rsidRPr="00307753" w:rsidRDefault="00367D03" w:rsidP="00EC7E26">
      <w:pPr>
        <w:spacing w:before="120" w:after="120"/>
        <w:ind w:left="720"/>
        <w:rPr>
          <w:rFonts w:eastAsia="Calibri" w:cs="Calibri"/>
        </w:rPr>
      </w:pPr>
      <w:r w:rsidRPr="00307753">
        <w:rPr>
          <w:rFonts w:eastAsia="Calibri" w:cs="Calibri"/>
        </w:rPr>
        <w:t>In cases where acceptance date cannot be obtained, we enter a fixed token acceptance date (2/4/</w:t>
      </w:r>
      <w:proofErr w:type="spellStart"/>
      <w:r w:rsidRPr="00307753">
        <w:rPr>
          <w:rFonts w:eastAsia="Calibri" w:cs="Calibri"/>
        </w:rPr>
        <w:t>yyyy</w:t>
      </w:r>
      <w:proofErr w:type="spellEnd"/>
      <w:r w:rsidRPr="00307753">
        <w:rPr>
          <w:rFonts w:eastAsia="Calibri" w:cs="Calibri"/>
        </w:rPr>
        <w:t>) so as to bring the record into compliance reporting.</w:t>
      </w:r>
      <w:r w:rsidR="002B3F45">
        <w:rPr>
          <w:rFonts w:eastAsia="Calibri" w:cs="Calibri"/>
        </w:rPr>
        <w:t xml:space="preserve"> Ou</w:t>
      </w:r>
      <w:r w:rsidR="00B6188C">
        <w:rPr>
          <w:rFonts w:eastAsia="Calibri" w:cs="Calibri"/>
        </w:rPr>
        <w:t>r</w:t>
      </w:r>
      <w:r w:rsidR="002B3F45">
        <w:rPr>
          <w:rFonts w:eastAsia="Calibri" w:cs="Calibri"/>
        </w:rPr>
        <w:t xml:space="preserve"> records show </w:t>
      </w:r>
      <w:r w:rsidR="006B1E20">
        <w:rPr>
          <w:rFonts w:eastAsia="Calibri" w:cs="Calibri"/>
        </w:rPr>
        <w:t xml:space="preserve">this occurs for </w:t>
      </w:r>
      <w:r w:rsidR="00D84AE9">
        <w:rPr>
          <w:rFonts w:eastAsia="Calibri" w:cs="Calibri"/>
        </w:rPr>
        <w:t xml:space="preserve">~3% of outputs subject to the policy. </w:t>
      </w:r>
    </w:p>
    <w:p w14:paraId="570D6273" w14:textId="77777777" w:rsidR="00E545FB" w:rsidRPr="00307753" w:rsidRDefault="0006699F" w:rsidP="00E545FB">
      <w:pPr>
        <w:spacing w:before="120" w:after="120"/>
        <w:ind w:left="720"/>
        <w:rPr>
          <w:rFonts w:eastAsia="Calibri" w:cs="Calibri"/>
        </w:rPr>
      </w:pPr>
      <w:hyperlink r:id="rId32" w:anchor="REFOpenAccesscompliancedetails-DepositAccess" w:history="1">
        <w:r w:rsidR="00BE6689" w:rsidRPr="00307753">
          <w:rPr>
            <w:rStyle w:val="Hyperlink"/>
            <w:rFonts w:eastAsia="Calibri" w:cs="Calibri"/>
          </w:rPr>
          <w:t>The logic for calculating compliance status is here (Elsevier Pure Support login required)</w:t>
        </w:r>
      </w:hyperlink>
      <w:r w:rsidR="00BE6689" w:rsidRPr="00307753">
        <w:rPr>
          <w:rFonts w:eastAsia="Calibri" w:cs="Calibri"/>
        </w:rPr>
        <w:t>.</w:t>
      </w:r>
    </w:p>
    <w:p w14:paraId="3365A229" w14:textId="77777777" w:rsidR="005B5603" w:rsidRPr="00307753" w:rsidRDefault="00B77AD8" w:rsidP="00E545FB">
      <w:pPr>
        <w:spacing w:before="120" w:after="120"/>
        <w:ind w:left="720"/>
        <w:rPr>
          <w:rFonts w:eastAsia="Calibri" w:cs="Calibri"/>
        </w:rPr>
      </w:pPr>
      <w:r w:rsidRPr="00307753">
        <w:rPr>
          <w:rFonts w:eastAsia="Calibri" w:cs="Calibri"/>
          <w:b/>
          <w:bCs/>
        </w:rPr>
        <w:lastRenderedPageBreak/>
        <w:t xml:space="preserve">4.3 </w:t>
      </w:r>
      <w:r w:rsidR="00367D03" w:rsidRPr="00307753">
        <w:rPr>
          <w:rFonts w:eastAsia="Calibri" w:cs="Calibri"/>
          <w:b/>
          <w:bCs/>
        </w:rPr>
        <w:t xml:space="preserve">Exceptions: </w:t>
      </w:r>
      <w:r w:rsidR="00367D03" w:rsidRPr="00307753">
        <w:rPr>
          <w:rFonts w:eastAsia="Calibri" w:cs="Calibri"/>
        </w:rPr>
        <w:t xml:space="preserve"> If the basic conditions for compliance are not met, exceptions allowed by the policy may be </w:t>
      </w:r>
      <w:r w:rsidR="00E87B92" w:rsidRPr="00307753">
        <w:rPr>
          <w:rFonts w:eastAsia="Calibri" w:cs="Calibri"/>
        </w:rPr>
        <w:t xml:space="preserve">selected </w:t>
      </w:r>
      <w:r w:rsidR="005B5603" w:rsidRPr="00307753">
        <w:rPr>
          <w:rFonts w:eastAsia="Calibri" w:cs="Calibri"/>
        </w:rPr>
        <w:t xml:space="preserve">using </w:t>
      </w:r>
      <w:r w:rsidR="00367D03" w:rsidRPr="00307753">
        <w:rPr>
          <w:rFonts w:eastAsia="Calibri" w:cs="Calibri"/>
        </w:rPr>
        <w:t xml:space="preserve">RIS. Not all exceptions are applied during curation, some being reserved for oversight by RSC/RO management.  </w:t>
      </w:r>
    </w:p>
    <w:p w14:paraId="5CF065D2" w14:textId="28F75431" w:rsidR="00367D03" w:rsidRPr="00307753" w:rsidRDefault="00367D03" w:rsidP="00E545FB">
      <w:pPr>
        <w:spacing w:before="120" w:after="120"/>
        <w:ind w:left="720"/>
        <w:rPr>
          <w:rFonts w:eastAsia="Calibri" w:cs="Calibri"/>
        </w:rPr>
      </w:pPr>
      <w:r w:rsidRPr="00307753">
        <w:rPr>
          <w:rFonts w:eastAsia="Calibri" w:cs="Calibri"/>
        </w:rPr>
        <w:t>During curation we employ the following exceptions:</w:t>
      </w:r>
    </w:p>
    <w:p w14:paraId="6645497B" w14:textId="77777777" w:rsidR="003D7A2C" w:rsidRPr="00307753" w:rsidRDefault="00367D03" w:rsidP="00367D03">
      <w:pPr>
        <w:pStyle w:val="ListParagraph"/>
        <w:numPr>
          <w:ilvl w:val="0"/>
          <w:numId w:val="15"/>
        </w:numPr>
        <w:spacing w:before="120" w:after="120"/>
        <w:rPr>
          <w:rFonts w:eastAsia="Calibri" w:cs="Calibri"/>
        </w:rPr>
      </w:pPr>
      <w:r w:rsidRPr="00307753">
        <w:rPr>
          <w:rFonts w:eastAsia="Calibri" w:cs="Calibri"/>
          <w:i/>
          <w:iCs/>
        </w:rPr>
        <w:t xml:space="preserve">The output was published as Gold open access.  </w:t>
      </w:r>
    </w:p>
    <w:p w14:paraId="0D7F036E" w14:textId="3A090439" w:rsidR="00367D03" w:rsidRPr="00307753" w:rsidRDefault="00367D03" w:rsidP="003D7A2C">
      <w:pPr>
        <w:pStyle w:val="ListParagraph"/>
        <w:spacing w:before="120" w:after="120"/>
        <w:ind w:left="1440"/>
        <w:rPr>
          <w:rFonts w:eastAsia="Calibri" w:cs="Calibri"/>
        </w:rPr>
      </w:pPr>
      <w:r w:rsidRPr="00307753">
        <w:rPr>
          <w:rFonts w:eastAsia="Calibri" w:cs="Calibri"/>
        </w:rPr>
        <w:t xml:space="preserve">This is no longer an exception to the policy but RIS uses it as </w:t>
      </w:r>
      <w:r w:rsidR="009752B0">
        <w:rPr>
          <w:rFonts w:eastAsia="Calibri" w:cs="Calibri"/>
        </w:rPr>
        <w:t xml:space="preserve">a </w:t>
      </w:r>
      <w:r w:rsidRPr="00307753">
        <w:rPr>
          <w:rFonts w:eastAsia="Calibri" w:cs="Calibri"/>
        </w:rPr>
        <w:t>flag for compliance</w:t>
      </w:r>
      <w:r w:rsidR="00E7336D" w:rsidRPr="00307753">
        <w:rPr>
          <w:rFonts w:eastAsia="Calibri" w:cs="Calibri"/>
        </w:rPr>
        <w:t>.</w:t>
      </w:r>
      <w:r w:rsidRPr="00307753">
        <w:rPr>
          <w:rFonts w:eastAsia="Calibri" w:cs="Calibri"/>
        </w:rPr>
        <w:t xml:space="preserve"> </w:t>
      </w:r>
    </w:p>
    <w:p w14:paraId="5CB35A24" w14:textId="64E7D792" w:rsidR="00367D03" w:rsidRPr="00307753" w:rsidRDefault="00367D03" w:rsidP="00367D03">
      <w:pPr>
        <w:pStyle w:val="ListParagraph"/>
        <w:numPr>
          <w:ilvl w:val="0"/>
          <w:numId w:val="15"/>
        </w:numPr>
        <w:spacing w:before="120" w:after="120"/>
        <w:rPr>
          <w:rFonts w:eastAsia="Calibri" w:cs="Calibri"/>
          <w:i/>
          <w:iCs/>
        </w:rPr>
      </w:pPr>
      <w:r w:rsidRPr="00307753">
        <w:rPr>
          <w:rFonts w:eastAsia="Calibri" w:cs="Calibri"/>
          <w:i/>
          <w:iCs/>
        </w:rPr>
        <w:t xml:space="preserve">There was a delay in securing the final peer-reviewed text (for instance, where a paper has multiple authors). </w:t>
      </w:r>
      <w:r w:rsidRPr="00307753">
        <w:rPr>
          <w:rFonts w:eastAsia="Calibri" w:cs="Calibri"/>
        </w:rPr>
        <w:t>We ask authors for evidence of delay and keep this on the record</w:t>
      </w:r>
      <w:r w:rsidR="00E7336D" w:rsidRPr="00307753">
        <w:rPr>
          <w:rFonts w:eastAsia="Calibri" w:cs="Calibri"/>
        </w:rPr>
        <w:t>.</w:t>
      </w:r>
      <w:r w:rsidRPr="00307753">
        <w:rPr>
          <w:rFonts w:eastAsia="Calibri" w:cs="Calibri"/>
        </w:rPr>
        <w:t xml:space="preserve"> </w:t>
      </w:r>
    </w:p>
    <w:p w14:paraId="11BAA704" w14:textId="77777777" w:rsidR="003D7A2C" w:rsidRPr="00307753" w:rsidRDefault="00367D03" w:rsidP="00367D03">
      <w:pPr>
        <w:pStyle w:val="ListParagraph"/>
        <w:numPr>
          <w:ilvl w:val="0"/>
          <w:numId w:val="15"/>
        </w:numPr>
        <w:spacing w:before="120" w:after="120"/>
        <w:rPr>
          <w:rFonts w:eastAsia="Calibri" w:cs="Calibri"/>
        </w:rPr>
      </w:pPr>
      <w:r w:rsidRPr="00307753">
        <w:rPr>
          <w:rFonts w:eastAsia="Calibri" w:cs="Calibri"/>
          <w:i/>
          <w:iCs/>
        </w:rPr>
        <w:t>The staff member to whom the output is attributed was not employed on a Category A eligible contract by a UK HEI at the time of submission for publication.</w:t>
      </w:r>
    </w:p>
    <w:p w14:paraId="67960658" w14:textId="40A5FD06" w:rsidR="00367D03" w:rsidRPr="00307753" w:rsidRDefault="00367D03" w:rsidP="003D7A2C">
      <w:pPr>
        <w:pStyle w:val="ListParagraph"/>
        <w:spacing w:before="120" w:after="120"/>
        <w:ind w:left="1440"/>
        <w:rPr>
          <w:rFonts w:eastAsia="Calibri" w:cs="Calibri"/>
        </w:rPr>
      </w:pPr>
      <w:r w:rsidRPr="00307753">
        <w:rPr>
          <w:rFonts w:eastAsia="Calibri" w:cs="Calibri"/>
        </w:rPr>
        <w:t xml:space="preserve">We use the author’s start date drawn from the Human Resources system. </w:t>
      </w:r>
    </w:p>
    <w:p w14:paraId="00E4E9DC" w14:textId="77777777" w:rsidR="003D7A2C" w:rsidRPr="00307753" w:rsidRDefault="00367D03" w:rsidP="00367D03">
      <w:pPr>
        <w:pStyle w:val="ListParagraph"/>
        <w:numPr>
          <w:ilvl w:val="0"/>
          <w:numId w:val="15"/>
        </w:numPr>
        <w:spacing w:before="120" w:after="120"/>
        <w:rPr>
          <w:rFonts w:eastAsia="Calibri" w:cs="Calibri"/>
        </w:rPr>
      </w:pPr>
      <w:r w:rsidRPr="00307753">
        <w:rPr>
          <w:rFonts w:eastAsia="Calibri" w:cs="Calibri"/>
          <w:i/>
          <w:iCs/>
        </w:rPr>
        <w:t xml:space="preserve">The publication concerned requires an embargo period that exceeds the stated </w:t>
      </w:r>
      <w:proofErr w:type="gramStart"/>
      <w:r w:rsidRPr="00307753">
        <w:rPr>
          <w:rFonts w:eastAsia="Calibri" w:cs="Calibri"/>
          <w:i/>
          <w:iCs/>
        </w:rPr>
        <w:t>maxima, and</w:t>
      </w:r>
      <w:proofErr w:type="gramEnd"/>
      <w:r w:rsidRPr="00307753">
        <w:rPr>
          <w:rFonts w:eastAsia="Calibri" w:cs="Calibri"/>
          <w:i/>
          <w:iCs/>
        </w:rPr>
        <w:t xml:space="preserve"> was the most appropriate publication for the output. </w:t>
      </w:r>
    </w:p>
    <w:p w14:paraId="017E540F" w14:textId="5027DE5D" w:rsidR="00367D03" w:rsidRPr="00307753" w:rsidRDefault="00367D03" w:rsidP="003D7A2C">
      <w:pPr>
        <w:pStyle w:val="ListParagraph"/>
        <w:spacing w:before="120" w:after="120"/>
        <w:ind w:left="1440"/>
        <w:rPr>
          <w:rFonts w:eastAsia="Calibri" w:cs="Calibri"/>
        </w:rPr>
      </w:pPr>
      <w:r w:rsidRPr="00307753">
        <w:rPr>
          <w:rFonts w:eastAsia="Calibri" w:cs="Calibri"/>
        </w:rPr>
        <w:t xml:space="preserve">We </w:t>
      </w:r>
      <w:r w:rsidR="00047BF7">
        <w:rPr>
          <w:rFonts w:eastAsia="Calibri" w:cs="Calibri"/>
        </w:rPr>
        <w:t>accept</w:t>
      </w:r>
      <w:r w:rsidRPr="00307753">
        <w:rPr>
          <w:rFonts w:eastAsia="Calibri" w:cs="Calibri"/>
        </w:rPr>
        <w:t xml:space="preserve"> the author’s prerogative and do not seek evidence for most appropriate venue. </w:t>
      </w:r>
    </w:p>
    <w:p w14:paraId="1572C678" w14:textId="77777777" w:rsidR="003D7A2C" w:rsidRPr="00307753" w:rsidRDefault="00367D03" w:rsidP="00367D03">
      <w:pPr>
        <w:pStyle w:val="ListParagraph"/>
        <w:numPr>
          <w:ilvl w:val="0"/>
          <w:numId w:val="15"/>
        </w:numPr>
        <w:spacing w:before="120" w:after="120"/>
        <w:rPr>
          <w:rFonts w:eastAsia="Calibri" w:cs="Calibri"/>
        </w:rPr>
      </w:pPr>
      <w:r w:rsidRPr="00307753">
        <w:rPr>
          <w:rFonts w:eastAsia="Calibri" w:cs="Calibri"/>
          <w:i/>
          <w:iCs/>
        </w:rPr>
        <w:t xml:space="preserve">The publisher actively disallows open access deposit in a </w:t>
      </w:r>
      <w:proofErr w:type="gramStart"/>
      <w:r w:rsidRPr="00307753">
        <w:rPr>
          <w:rFonts w:eastAsia="Calibri" w:cs="Calibri"/>
          <w:i/>
          <w:iCs/>
        </w:rPr>
        <w:t>repository, and</w:t>
      </w:r>
      <w:proofErr w:type="gramEnd"/>
      <w:r w:rsidRPr="00307753">
        <w:rPr>
          <w:rFonts w:eastAsia="Calibri" w:cs="Calibri"/>
          <w:i/>
          <w:iCs/>
        </w:rPr>
        <w:t xml:space="preserve"> was the most appropriate publication for the output</w:t>
      </w:r>
      <w:r w:rsidRPr="00307753">
        <w:rPr>
          <w:rFonts w:eastAsia="Calibri" w:cs="Calibri"/>
        </w:rPr>
        <w:t>.</w:t>
      </w:r>
    </w:p>
    <w:p w14:paraId="666B811D" w14:textId="05FE9678" w:rsidR="00367D03" w:rsidRPr="00307753" w:rsidRDefault="00367D03" w:rsidP="003D7A2C">
      <w:pPr>
        <w:pStyle w:val="ListParagraph"/>
        <w:spacing w:before="120" w:after="120"/>
        <w:ind w:left="1440"/>
        <w:rPr>
          <w:rFonts w:eastAsia="Calibri" w:cs="Calibri"/>
        </w:rPr>
      </w:pPr>
      <w:r w:rsidRPr="00307753">
        <w:rPr>
          <w:rFonts w:eastAsia="Calibri" w:cs="Calibri"/>
        </w:rPr>
        <w:t xml:space="preserve">We </w:t>
      </w:r>
      <w:r w:rsidR="00047BF7">
        <w:rPr>
          <w:rFonts w:eastAsia="Calibri" w:cs="Calibri"/>
        </w:rPr>
        <w:t>accept</w:t>
      </w:r>
      <w:r w:rsidR="00047BF7" w:rsidRPr="00307753">
        <w:rPr>
          <w:rFonts w:eastAsia="Calibri" w:cs="Calibri"/>
        </w:rPr>
        <w:t xml:space="preserve"> </w:t>
      </w:r>
      <w:r w:rsidRPr="00307753">
        <w:rPr>
          <w:rFonts w:eastAsia="Calibri" w:cs="Calibri"/>
        </w:rPr>
        <w:t xml:space="preserve">author’s prerogative and do not seek evidence for most appropriate venue. </w:t>
      </w:r>
    </w:p>
    <w:p w14:paraId="5E6E0AD5" w14:textId="77777777" w:rsidR="003D7A2C" w:rsidRPr="00307753" w:rsidRDefault="00367D03" w:rsidP="00367D03">
      <w:pPr>
        <w:pStyle w:val="ListParagraph"/>
        <w:numPr>
          <w:ilvl w:val="0"/>
          <w:numId w:val="15"/>
        </w:numPr>
        <w:spacing w:before="120" w:after="120"/>
        <w:rPr>
          <w:rFonts w:eastAsia="Calibri" w:cs="Calibri"/>
        </w:rPr>
      </w:pPr>
      <w:r w:rsidRPr="00307753">
        <w:rPr>
          <w:rFonts w:eastAsia="Calibri" w:cs="Calibri"/>
          <w:i/>
          <w:iCs/>
        </w:rPr>
        <w:t>At the point of acceptance, the staff member to whom the output is attributed was employed at a different UK HEI, and it has not been possible to determine compliance with the criteria.</w:t>
      </w:r>
    </w:p>
    <w:p w14:paraId="4545222F" w14:textId="38924501" w:rsidR="00367D03" w:rsidRPr="00307753" w:rsidRDefault="00367D03" w:rsidP="003D7A2C">
      <w:pPr>
        <w:pStyle w:val="ListParagraph"/>
        <w:spacing w:before="120" w:after="120"/>
        <w:ind w:left="1440"/>
        <w:rPr>
          <w:rFonts w:eastAsia="Calibri" w:cs="Calibri"/>
        </w:rPr>
      </w:pPr>
      <w:r w:rsidRPr="00307753">
        <w:rPr>
          <w:rFonts w:eastAsia="Calibri" w:cs="Calibri"/>
        </w:rPr>
        <w:t xml:space="preserve">We use the author’s start date drawn from the Human Resources system.  We do not seek to establish compliance via a previous UK HEI. </w:t>
      </w:r>
    </w:p>
    <w:p w14:paraId="795E49FE" w14:textId="77777777" w:rsidR="003D7A2C" w:rsidRPr="00307753" w:rsidRDefault="00367D03" w:rsidP="00367D03">
      <w:pPr>
        <w:pStyle w:val="ListParagraph"/>
        <w:numPr>
          <w:ilvl w:val="0"/>
          <w:numId w:val="15"/>
        </w:numPr>
        <w:spacing w:before="120" w:after="120"/>
        <w:rPr>
          <w:rFonts w:eastAsia="Calibri" w:cs="Calibri"/>
        </w:rPr>
      </w:pPr>
      <w:r w:rsidRPr="00307753">
        <w:rPr>
          <w:rFonts w:eastAsia="Calibri" w:cs="Calibri"/>
          <w:i/>
          <w:iCs/>
        </w:rPr>
        <w:t xml:space="preserve">The output was not deposited within three months of acceptance </w:t>
      </w:r>
      <w:proofErr w:type="gramStart"/>
      <w:r w:rsidRPr="00307753">
        <w:rPr>
          <w:rFonts w:eastAsia="Calibri" w:cs="Calibri"/>
          <w:i/>
          <w:iCs/>
        </w:rPr>
        <w:t>date, but</w:t>
      </w:r>
      <w:proofErr w:type="gramEnd"/>
      <w:r w:rsidRPr="00307753">
        <w:rPr>
          <w:rFonts w:eastAsia="Calibri" w:cs="Calibri"/>
          <w:i/>
          <w:iCs/>
        </w:rPr>
        <w:t xml:space="preserve"> was deposited within three months of the earliest date of publication. </w:t>
      </w:r>
    </w:p>
    <w:p w14:paraId="083D328E" w14:textId="3EA2748E" w:rsidR="00367D03" w:rsidRPr="00307753" w:rsidRDefault="00367D03" w:rsidP="003D7A2C">
      <w:pPr>
        <w:pStyle w:val="ListParagraph"/>
        <w:spacing w:before="120" w:after="120"/>
        <w:ind w:left="1440"/>
        <w:rPr>
          <w:rFonts w:eastAsia="Calibri" w:cs="Calibri"/>
        </w:rPr>
      </w:pPr>
      <w:r w:rsidRPr="00307753">
        <w:rPr>
          <w:rFonts w:eastAsia="Calibri" w:cs="Calibri"/>
        </w:rPr>
        <w:t>For outputs published after 1 April 2018 that meet the exception and otherwise satisf</w:t>
      </w:r>
      <w:r w:rsidR="00E7355D" w:rsidRPr="00307753">
        <w:rPr>
          <w:rFonts w:eastAsia="Calibri" w:cs="Calibri"/>
        </w:rPr>
        <w:t>y</w:t>
      </w:r>
      <w:r w:rsidRPr="00307753">
        <w:rPr>
          <w:rFonts w:eastAsia="Calibri" w:cs="Calibri"/>
        </w:rPr>
        <w:t xml:space="preserve"> the policy. We also use this exception when an acceptance date cannot be obtained and our token acceptance date (2/4/</w:t>
      </w:r>
      <w:proofErr w:type="spellStart"/>
      <w:r w:rsidRPr="00307753">
        <w:rPr>
          <w:rFonts w:eastAsia="Calibri" w:cs="Calibri"/>
        </w:rPr>
        <w:t>yyyy</w:t>
      </w:r>
      <w:proofErr w:type="spellEnd"/>
      <w:r w:rsidRPr="00307753">
        <w:rPr>
          <w:rFonts w:eastAsia="Calibri" w:cs="Calibri"/>
        </w:rPr>
        <w:t>) leads RIS to report non-compliance, but the output otherwise satisfies the policy.</w:t>
      </w:r>
    </w:p>
    <w:p w14:paraId="7949BB06" w14:textId="77777777" w:rsidR="00A85574" w:rsidRDefault="00A85574" w:rsidP="00A85574">
      <w:pPr>
        <w:spacing w:before="120" w:after="120"/>
        <w:ind w:left="720"/>
        <w:rPr>
          <w:rFonts w:eastAsia="Calibri" w:cs="Calibri"/>
        </w:rPr>
      </w:pPr>
      <w:r w:rsidRPr="00307753">
        <w:rPr>
          <w:rFonts w:eastAsia="Calibri" w:cs="Calibri"/>
          <w:b/>
          <w:bCs/>
        </w:rPr>
        <w:t>4.4 Other Exception:</w:t>
      </w:r>
      <w:r w:rsidRPr="00307753">
        <w:rPr>
          <w:rFonts w:eastAsia="Calibri" w:cs="Calibri"/>
        </w:rPr>
        <w:t xml:space="preserve"> </w:t>
      </w:r>
      <w:r w:rsidRPr="00307753">
        <w:rPr>
          <w:rFonts w:eastAsia="Calibri" w:cs="Calibri"/>
          <w:i/>
          <w:iCs/>
        </w:rPr>
        <w:t>Other Exception</w:t>
      </w:r>
      <w:r w:rsidRPr="00307753">
        <w:rPr>
          <w:rFonts w:eastAsia="Calibri" w:cs="Calibri"/>
        </w:rPr>
        <w:t xml:space="preserve"> and any of the allowable named exceptions </w:t>
      </w:r>
      <w:r w:rsidRPr="00307753">
        <w:rPr>
          <w:rFonts w:eastAsia="Calibri" w:cs="Calibri"/>
          <w:i/>
          <w:iCs/>
        </w:rPr>
        <w:t>not</w:t>
      </w:r>
      <w:r w:rsidRPr="00307753">
        <w:rPr>
          <w:rFonts w:eastAsia="Calibri" w:cs="Calibri"/>
        </w:rPr>
        <w:t xml:space="preserve"> noted in 4.3 above are applied only after review by RSC/Research Office management. We expect our use of Other Exception to be very limited.</w:t>
      </w:r>
      <w:r>
        <w:rPr>
          <w:rFonts w:eastAsia="Calibri" w:cs="Calibri"/>
        </w:rPr>
        <w:t xml:space="preserve"> </w:t>
      </w:r>
    </w:p>
    <w:p w14:paraId="1C98DAEE" w14:textId="77777777" w:rsidR="00A85574" w:rsidRPr="00307753" w:rsidRDefault="00A85574" w:rsidP="00A85574">
      <w:pPr>
        <w:spacing w:before="120" w:after="120"/>
        <w:ind w:left="720"/>
        <w:rPr>
          <w:rFonts w:eastAsia="Calibri" w:cs="Calibri"/>
        </w:rPr>
      </w:pPr>
      <w:r>
        <w:rPr>
          <w:rFonts w:eastAsia="Calibri" w:cs="Calibri"/>
        </w:rPr>
        <w:t xml:space="preserve">There are two </w:t>
      </w:r>
      <w:r w:rsidRPr="00307753">
        <w:rPr>
          <w:rFonts w:eastAsia="Calibri" w:cs="Calibri"/>
        </w:rPr>
        <w:t>situation</w:t>
      </w:r>
      <w:r>
        <w:rPr>
          <w:rFonts w:eastAsia="Calibri" w:cs="Calibri"/>
        </w:rPr>
        <w:t>s</w:t>
      </w:r>
      <w:r w:rsidRPr="00307753">
        <w:rPr>
          <w:rFonts w:eastAsia="Calibri" w:cs="Calibri"/>
        </w:rPr>
        <w:t xml:space="preserve"> </w:t>
      </w:r>
      <w:r>
        <w:rPr>
          <w:rFonts w:eastAsia="Calibri" w:cs="Calibri"/>
        </w:rPr>
        <w:t>for which we can anticipate using ‘Other’.</w:t>
      </w:r>
    </w:p>
    <w:p w14:paraId="2F1398C8" w14:textId="77777777" w:rsidR="00A85574" w:rsidRPr="006C5B4E" w:rsidRDefault="00A85574" w:rsidP="00A85574">
      <w:pPr>
        <w:pStyle w:val="ListParagraph"/>
        <w:numPr>
          <w:ilvl w:val="0"/>
          <w:numId w:val="17"/>
        </w:numPr>
        <w:spacing w:before="120" w:after="120"/>
        <w:rPr>
          <w:rFonts w:eastAsia="Calibri" w:cs="Calibri"/>
        </w:rPr>
      </w:pPr>
      <w:r w:rsidRPr="006C5B4E">
        <w:rPr>
          <w:rFonts w:eastAsia="Calibri" w:cs="Calibri"/>
        </w:rPr>
        <w:t xml:space="preserve">where the sequence of events in a protracted publication cycle leads to a logic failure, and as a result RIS reports non-compliance for an output that has clearly met the policy. </w:t>
      </w:r>
      <w:r>
        <w:rPr>
          <w:rFonts w:eastAsia="Calibri" w:cs="Calibri"/>
        </w:rPr>
        <w:t xml:space="preserve">We anticipate this may occur </w:t>
      </w:r>
      <w:r w:rsidRPr="006C5B4E">
        <w:rPr>
          <w:rFonts w:eastAsia="Calibri" w:cs="Calibri"/>
        </w:rPr>
        <w:t>in 1 or 2 in 1000 outputs.</w:t>
      </w:r>
    </w:p>
    <w:p w14:paraId="1DD8EC9A" w14:textId="77777777" w:rsidR="00A85574" w:rsidRPr="006C5B4E" w:rsidRDefault="00A85574" w:rsidP="00A85574">
      <w:pPr>
        <w:pStyle w:val="ListParagraph"/>
        <w:numPr>
          <w:ilvl w:val="0"/>
          <w:numId w:val="17"/>
        </w:numPr>
        <w:spacing w:before="120" w:after="120"/>
        <w:rPr>
          <w:rFonts w:eastAsia="Calibri" w:cs="Calibri"/>
        </w:rPr>
      </w:pPr>
      <w:r w:rsidRPr="006C5B4E">
        <w:rPr>
          <w:rFonts w:eastAsia="Calibri" w:cs="Calibri"/>
        </w:rPr>
        <w:t xml:space="preserve">where an article is embargoed from acceptance until publication date, but that publication date is overlooked, so that the output is not made available within 1 month of publication. An output may be overlooked for a number of reasons: failure of the author to communicate publication; untimely Scopus update; repeated checking by RSC </w:t>
      </w:r>
      <w:r w:rsidRPr="006C5B4E">
        <w:rPr>
          <w:rFonts w:eastAsia="Calibri" w:cs="Calibri"/>
        </w:rPr>
        <w:lastRenderedPageBreak/>
        <w:t>being of insufficient frequency</w:t>
      </w:r>
      <w:r>
        <w:rPr>
          <w:rFonts w:eastAsia="Calibri" w:cs="Calibri"/>
        </w:rPr>
        <w:t>,</w:t>
      </w:r>
      <w:r w:rsidRPr="006C5B4E">
        <w:rPr>
          <w:rFonts w:eastAsia="Calibri" w:cs="Calibri"/>
        </w:rPr>
        <w:t xml:space="preserve"> due to resource constraint. </w:t>
      </w:r>
      <w:r>
        <w:rPr>
          <w:rFonts w:eastAsia="Calibri" w:cs="Calibri"/>
        </w:rPr>
        <w:t>We anticipate this may occur in up to 5</w:t>
      </w:r>
      <w:r w:rsidRPr="006C5B4E">
        <w:rPr>
          <w:rFonts w:eastAsia="Calibri" w:cs="Calibri"/>
        </w:rPr>
        <w:t xml:space="preserve"> in 1000 outputs.</w:t>
      </w:r>
    </w:p>
    <w:p w14:paraId="1C8641C4" w14:textId="25F98F69" w:rsidR="00626E14" w:rsidRPr="00307753" w:rsidRDefault="00A85574" w:rsidP="00A85574">
      <w:pPr>
        <w:spacing w:before="120" w:after="120"/>
        <w:ind w:left="720"/>
        <w:rPr>
          <w:rFonts w:eastAsia="Calibri" w:cs="Calibri"/>
        </w:rPr>
      </w:pPr>
      <w:r>
        <w:rPr>
          <w:rFonts w:eastAsia="Calibri" w:cs="Calibri"/>
        </w:rPr>
        <w:t>In both cases, and only when the author has satisfied the policy with an appropriate deposit</w:t>
      </w:r>
      <w:r w:rsidRPr="00307753">
        <w:rPr>
          <w:rFonts w:eastAsia="Calibri" w:cs="Calibri"/>
        </w:rPr>
        <w:t xml:space="preserve">, we apply an Other Exception and explain the circumstances in the exception note. </w:t>
      </w:r>
      <w:r>
        <w:rPr>
          <w:rFonts w:eastAsia="Calibri" w:cs="Calibri"/>
        </w:rPr>
        <w:t xml:space="preserve"> We prefer using other exception rather a technical exception because - although the circumstances are ‘of a systemic or process nature’- each has a unique sequence of metadata failure that we believe is more robust to be described rather than left to an unexplained technical exception.</w:t>
      </w:r>
    </w:p>
    <w:p w14:paraId="7BDE7456" w14:textId="708A839D" w:rsidR="00B836A0" w:rsidRPr="00307753" w:rsidRDefault="008C1820" w:rsidP="00847992">
      <w:pPr>
        <w:spacing w:before="120" w:after="120"/>
        <w:ind w:left="720"/>
        <w:rPr>
          <w:rFonts w:eastAsia="Calibri" w:cs="Calibri"/>
        </w:rPr>
      </w:pPr>
      <w:r w:rsidRPr="00307753">
        <w:rPr>
          <w:rFonts w:eastAsia="Calibri" w:cs="Calibri"/>
          <w:b/>
          <w:bCs/>
        </w:rPr>
        <w:t>4.5 Review of Exceptions</w:t>
      </w:r>
      <w:r w:rsidR="003E6F8D" w:rsidRPr="00307753">
        <w:rPr>
          <w:rFonts w:eastAsia="Calibri" w:cs="Calibri"/>
          <w:b/>
          <w:bCs/>
        </w:rPr>
        <w:t xml:space="preserve">: </w:t>
      </w:r>
      <w:r w:rsidR="006678DE" w:rsidRPr="00307753">
        <w:rPr>
          <w:rFonts w:eastAsia="Calibri" w:cs="Calibri"/>
        </w:rPr>
        <w:t>to ascertain that exceptions have been consistently and appropriately applied</w:t>
      </w:r>
      <w:r w:rsidR="006317AD" w:rsidRPr="00307753">
        <w:rPr>
          <w:rFonts w:eastAsia="Calibri" w:cs="Calibri"/>
          <w:b/>
          <w:bCs/>
        </w:rPr>
        <w:t xml:space="preserve"> </w:t>
      </w:r>
      <w:r w:rsidR="006317AD" w:rsidRPr="00307753">
        <w:rPr>
          <w:rFonts w:eastAsia="Calibri" w:cs="Calibri"/>
        </w:rPr>
        <w:t xml:space="preserve">we </w:t>
      </w:r>
      <w:r w:rsidR="00777C98">
        <w:rPr>
          <w:rFonts w:eastAsia="Calibri" w:cs="Calibri"/>
        </w:rPr>
        <w:t xml:space="preserve">will </w:t>
      </w:r>
      <w:r w:rsidR="006317AD" w:rsidRPr="00307753">
        <w:rPr>
          <w:rFonts w:eastAsia="Calibri" w:cs="Calibri"/>
        </w:rPr>
        <w:t xml:space="preserve">review and check </w:t>
      </w:r>
      <w:r w:rsidR="003E6F8D" w:rsidRPr="00307753">
        <w:rPr>
          <w:rFonts w:eastAsia="Calibri" w:cs="Calibri"/>
        </w:rPr>
        <w:t xml:space="preserve">all exceptions </w:t>
      </w:r>
      <w:r w:rsidR="00B836A0" w:rsidRPr="00307753">
        <w:rPr>
          <w:rFonts w:eastAsia="Calibri" w:cs="Calibri"/>
        </w:rPr>
        <w:t>for output</w:t>
      </w:r>
      <w:r w:rsidR="008E46BC" w:rsidRPr="00307753">
        <w:rPr>
          <w:rFonts w:eastAsia="Calibri" w:cs="Calibri"/>
        </w:rPr>
        <w:t>s</w:t>
      </w:r>
      <w:r w:rsidR="006678DE" w:rsidRPr="00307753">
        <w:rPr>
          <w:rFonts w:eastAsia="Calibri" w:cs="Calibri"/>
        </w:rPr>
        <w:t xml:space="preserve"> selected for </w:t>
      </w:r>
      <w:r w:rsidR="00B836A0" w:rsidRPr="00307753">
        <w:rPr>
          <w:rFonts w:eastAsia="Calibri" w:cs="Calibri"/>
        </w:rPr>
        <w:t xml:space="preserve">submission. </w:t>
      </w:r>
    </w:p>
    <w:p w14:paraId="690873A3" w14:textId="77777777" w:rsidR="00612789" w:rsidRPr="00307753" w:rsidRDefault="00612789" w:rsidP="00612789">
      <w:pPr>
        <w:rPr>
          <w:rFonts w:eastAsia="Calibri" w:cs="Calibri"/>
        </w:rPr>
      </w:pPr>
    </w:p>
    <w:p w14:paraId="1B51B8A6" w14:textId="3A830259" w:rsidR="00572052" w:rsidRPr="00664897" w:rsidRDefault="00572052" w:rsidP="00664897">
      <w:pPr>
        <w:pStyle w:val="Heading1"/>
      </w:pPr>
      <w:bookmarkStart w:id="21" w:name="_Toc65071800"/>
      <w:r w:rsidRPr="00664897">
        <w:rPr>
          <w:rStyle w:val="Hyperlink"/>
          <w:color w:val="2F5496" w:themeColor="accent1" w:themeShade="BF"/>
          <w:u w:val="none"/>
        </w:rPr>
        <w:t xml:space="preserve">Appendix D </w:t>
      </w:r>
      <w:r w:rsidR="005217E0" w:rsidRPr="00664897">
        <w:tab/>
      </w:r>
      <w:r w:rsidRPr="00664897">
        <w:rPr>
          <w:rStyle w:val="Hyperlink"/>
          <w:color w:val="2F5496" w:themeColor="accent1" w:themeShade="BF"/>
          <w:u w:val="none"/>
        </w:rPr>
        <w:t>RSC curation manual</w:t>
      </w:r>
      <w:bookmarkEnd w:id="21"/>
    </w:p>
    <w:p w14:paraId="07A63BF6" w14:textId="1489051F" w:rsidR="00612789" w:rsidRPr="001A788F" w:rsidRDefault="0006699F" w:rsidP="00612789">
      <w:hyperlink r:id="rId33" w:history="1">
        <w:r w:rsidR="00B97599" w:rsidRPr="00280F01">
          <w:rPr>
            <w:rStyle w:val="Hyperlink"/>
          </w:rPr>
          <w:t>https://herts365.sharepoint.com/sites/rsc/SitePages/RSC-Team-Manual.aspx</w:t>
        </w:r>
      </w:hyperlink>
      <w:r w:rsidR="00B97599">
        <w:t xml:space="preserve"> </w:t>
      </w:r>
    </w:p>
    <w:p w14:paraId="7B5B8AB1" w14:textId="77777777" w:rsidR="005217E0" w:rsidRDefault="005217E0" w:rsidP="00612789">
      <w:pPr>
        <w:pStyle w:val="Heading1"/>
        <w:rPr>
          <w:rFonts w:asciiTheme="minorHAnsi" w:eastAsia="Calibri" w:hAnsiTheme="minorHAnsi"/>
        </w:rPr>
      </w:pPr>
      <w:bookmarkStart w:id="22" w:name="_Appendix_E_"/>
      <w:bookmarkEnd w:id="22"/>
    </w:p>
    <w:p w14:paraId="3ACDFDDF" w14:textId="77777777" w:rsidR="005217E0" w:rsidRDefault="005217E0">
      <w:pPr>
        <w:rPr>
          <w:rFonts w:eastAsia="Calibri" w:cstheme="majorBidi"/>
          <w:color w:val="2F5496" w:themeColor="accent1" w:themeShade="BF"/>
          <w:sz w:val="32"/>
          <w:szCs w:val="32"/>
        </w:rPr>
      </w:pPr>
      <w:r>
        <w:rPr>
          <w:rFonts w:eastAsia="Calibri"/>
        </w:rPr>
        <w:br w:type="page"/>
      </w:r>
    </w:p>
    <w:p w14:paraId="00407131" w14:textId="272EA61F" w:rsidR="007A47F8" w:rsidRPr="00664897" w:rsidRDefault="00A069B5" w:rsidP="00664897">
      <w:pPr>
        <w:pStyle w:val="Heading1"/>
      </w:pPr>
      <w:bookmarkStart w:id="23" w:name="_Toc65071801"/>
      <w:r w:rsidRPr="00664897">
        <w:lastRenderedPageBreak/>
        <w:t xml:space="preserve">Appendix </w:t>
      </w:r>
      <w:r w:rsidR="00D22616" w:rsidRPr="00664897">
        <w:t>E</w:t>
      </w:r>
      <w:r w:rsidR="00D22616" w:rsidRPr="00664897">
        <w:tab/>
      </w:r>
      <w:r w:rsidR="00517F7A">
        <w:tab/>
      </w:r>
      <w:r w:rsidRPr="00664897">
        <w:t xml:space="preserve">Process </w:t>
      </w:r>
      <w:r w:rsidR="00664897" w:rsidRPr="00664897">
        <w:t>c</w:t>
      </w:r>
      <w:r w:rsidRPr="00664897">
        <w:t xml:space="preserve">hallenges </w:t>
      </w:r>
      <w:r w:rsidR="00664897" w:rsidRPr="00664897">
        <w:t>n</w:t>
      </w:r>
      <w:r w:rsidR="00E13344" w:rsidRPr="00664897">
        <w:t>otes</w:t>
      </w:r>
      <w:bookmarkEnd w:id="23"/>
    </w:p>
    <w:p w14:paraId="14DB5758" w14:textId="4811FFBB" w:rsidR="00A069B5" w:rsidRPr="00307753" w:rsidRDefault="00D22616" w:rsidP="00A069B5">
      <w:pPr>
        <w:spacing w:before="120" w:after="120"/>
        <w:rPr>
          <w:rFonts w:eastAsia="Calibri" w:cs="Calibri"/>
          <w:b/>
          <w:bCs/>
        </w:rPr>
      </w:pPr>
      <w:r w:rsidRPr="00307753">
        <w:rPr>
          <w:rFonts w:eastAsia="Calibri" w:cs="Calibri"/>
          <w:b/>
          <w:bCs/>
        </w:rPr>
        <w:t xml:space="preserve">1 </w:t>
      </w:r>
      <w:r w:rsidR="00A069B5" w:rsidRPr="00307753">
        <w:rPr>
          <w:rFonts w:eastAsia="Calibri" w:cs="Calibri"/>
          <w:b/>
          <w:bCs/>
        </w:rPr>
        <w:t>Immediate visibility</w:t>
      </w:r>
    </w:p>
    <w:p w14:paraId="1BA2723C" w14:textId="381CEDCD" w:rsidR="00924C61" w:rsidRPr="00307753" w:rsidRDefault="00A069B5" w:rsidP="00A069B5">
      <w:pPr>
        <w:spacing w:before="120" w:after="120"/>
        <w:rPr>
          <w:rFonts w:eastAsia="Calibri" w:cs="Calibri"/>
        </w:rPr>
      </w:pPr>
      <w:r w:rsidRPr="00307753">
        <w:rPr>
          <w:rFonts w:eastAsia="Calibri" w:cs="Calibri"/>
        </w:rPr>
        <w:t xml:space="preserve">Research outputs are made </w:t>
      </w:r>
      <w:r w:rsidR="00E62322" w:rsidRPr="00307753">
        <w:rPr>
          <w:rFonts w:eastAsia="Calibri" w:cs="Calibri"/>
        </w:rPr>
        <w:t>publicly</w:t>
      </w:r>
      <w:r w:rsidRPr="00307753">
        <w:rPr>
          <w:rFonts w:eastAsia="Calibri" w:cs="Calibri"/>
        </w:rPr>
        <w:t xml:space="preserve"> available on portal immediately after creation by </w:t>
      </w:r>
      <w:r w:rsidR="003E613D">
        <w:rPr>
          <w:rFonts w:eastAsia="Calibri" w:cs="Calibri"/>
        </w:rPr>
        <w:t>a</w:t>
      </w:r>
      <w:r w:rsidRPr="00307753">
        <w:rPr>
          <w:rFonts w:eastAsia="Calibri" w:cs="Calibri"/>
        </w:rPr>
        <w:t xml:space="preserve">uthors, without waiting for the attention of RSC. This has a risk of contravening publisher’s rights.  The university considers this openness and autonomy a benefit which balances the risk of an author occasionally contravening their publisher’s expectations. </w:t>
      </w:r>
    </w:p>
    <w:p w14:paraId="3DB29021" w14:textId="6252C027" w:rsidR="00A069B5" w:rsidRPr="00307753" w:rsidRDefault="00A069B5" w:rsidP="00A069B5">
      <w:pPr>
        <w:spacing w:before="120" w:after="120"/>
        <w:rPr>
          <w:rFonts w:eastAsia="Calibri" w:cs="Calibri"/>
        </w:rPr>
      </w:pPr>
      <w:r w:rsidRPr="00307753">
        <w:rPr>
          <w:rFonts w:eastAsia="Calibri" w:cs="Calibri"/>
        </w:rPr>
        <w:t xml:space="preserve">The university mitigates this approach through a target to </w:t>
      </w:r>
      <w:proofErr w:type="spellStart"/>
      <w:r w:rsidRPr="00307753">
        <w:rPr>
          <w:rFonts w:eastAsia="Calibri" w:cs="Calibri"/>
        </w:rPr>
        <w:t>scrutinise</w:t>
      </w:r>
      <w:proofErr w:type="spellEnd"/>
      <w:r w:rsidRPr="00307753">
        <w:rPr>
          <w:rFonts w:eastAsia="Calibri" w:cs="Calibri"/>
        </w:rPr>
        <w:t xml:space="preserve"> all new research outputs by RSC within one week; and, a rapid take down policy. </w:t>
      </w:r>
    </w:p>
    <w:p w14:paraId="06500E92" w14:textId="2834721D" w:rsidR="00A069B5" w:rsidRPr="00307753" w:rsidRDefault="00D22616" w:rsidP="00A069B5">
      <w:pPr>
        <w:spacing w:before="120" w:after="120"/>
        <w:rPr>
          <w:rFonts w:eastAsia="Calibri" w:cs="Calibri"/>
          <w:b/>
          <w:bCs/>
        </w:rPr>
      </w:pPr>
      <w:r w:rsidRPr="00307753">
        <w:rPr>
          <w:rFonts w:eastAsia="Calibri" w:cs="Calibri"/>
          <w:b/>
          <w:bCs/>
        </w:rPr>
        <w:t xml:space="preserve">2 </w:t>
      </w:r>
      <w:r w:rsidR="00A069B5" w:rsidRPr="00307753">
        <w:rPr>
          <w:rFonts w:eastAsia="Calibri" w:cs="Calibri"/>
          <w:b/>
          <w:bCs/>
        </w:rPr>
        <w:t>Incorrect manuscripts</w:t>
      </w:r>
    </w:p>
    <w:p w14:paraId="5ADCC81D" w14:textId="0765F22E" w:rsidR="00924C61" w:rsidRPr="00307753" w:rsidRDefault="00A069B5" w:rsidP="00A069B5">
      <w:pPr>
        <w:spacing w:before="120" w:after="120"/>
        <w:rPr>
          <w:rFonts w:eastAsia="Calibri" w:cs="Calibri"/>
        </w:rPr>
      </w:pPr>
      <w:r w:rsidRPr="00307753">
        <w:rPr>
          <w:rFonts w:eastAsia="Calibri" w:cs="Calibri"/>
        </w:rPr>
        <w:t xml:space="preserve">Authors may incorrectly deposit their manuscript as the accepted text. This carries the risk of either misrepresenting a pre-print or contravening publisher’s rights by use of an enhanced version. </w:t>
      </w:r>
    </w:p>
    <w:p w14:paraId="484B9C94" w14:textId="42052803" w:rsidR="00A069B5" w:rsidRPr="00307753" w:rsidRDefault="00A069B5" w:rsidP="00A069B5">
      <w:pPr>
        <w:spacing w:before="120" w:after="120"/>
        <w:rPr>
          <w:rFonts w:eastAsia="Calibri" w:cs="Calibri"/>
        </w:rPr>
      </w:pPr>
      <w:r w:rsidRPr="00307753">
        <w:rPr>
          <w:rFonts w:eastAsia="Calibri" w:cs="Calibri"/>
        </w:rPr>
        <w:t>The university mitigates this risk by an emphasis on ‘accepted text’ during training; training on the use of major online submission systems; manuscript checks by experienced administrators; and, a rapid take down policy.</w:t>
      </w:r>
    </w:p>
    <w:p w14:paraId="17C2B3AF" w14:textId="552F1FC5" w:rsidR="00A069B5" w:rsidRPr="00307753" w:rsidRDefault="00D22616" w:rsidP="00A069B5">
      <w:pPr>
        <w:spacing w:before="120" w:after="120"/>
        <w:rPr>
          <w:rFonts w:eastAsia="Calibri" w:cs="Calibri"/>
          <w:b/>
          <w:bCs/>
        </w:rPr>
      </w:pPr>
      <w:r w:rsidRPr="00307753">
        <w:rPr>
          <w:rFonts w:eastAsia="Calibri" w:cs="Calibri"/>
          <w:b/>
          <w:bCs/>
        </w:rPr>
        <w:t xml:space="preserve">3 </w:t>
      </w:r>
      <w:r w:rsidR="00A069B5" w:rsidRPr="00307753">
        <w:rPr>
          <w:rFonts w:eastAsia="Calibri" w:cs="Calibri"/>
          <w:b/>
          <w:bCs/>
        </w:rPr>
        <w:t>Incorrect metadata</w:t>
      </w:r>
    </w:p>
    <w:p w14:paraId="117DBB13" w14:textId="6474BC2A" w:rsidR="000E609E" w:rsidRPr="00307753" w:rsidRDefault="00D22616" w:rsidP="00A069B5">
      <w:pPr>
        <w:spacing w:before="120" w:after="120"/>
        <w:rPr>
          <w:rFonts w:eastAsia="Calibri" w:cs="Calibri"/>
        </w:rPr>
      </w:pPr>
      <w:r w:rsidRPr="00307753">
        <w:rPr>
          <w:rFonts w:eastAsia="Calibri" w:cs="Calibri"/>
        </w:rPr>
        <w:t>P</w:t>
      </w:r>
      <w:r w:rsidR="00A069B5" w:rsidRPr="00307753">
        <w:rPr>
          <w:rFonts w:eastAsia="Calibri" w:cs="Calibri"/>
        </w:rPr>
        <w:t xml:space="preserve">ublisher’s public domain metadata is often poor, even extending to the lack of </w:t>
      </w:r>
      <w:r w:rsidR="000E609E" w:rsidRPr="00307753">
        <w:rPr>
          <w:rFonts w:eastAsia="Calibri" w:cs="Calibri"/>
        </w:rPr>
        <w:t xml:space="preserve">a </w:t>
      </w:r>
      <w:r w:rsidR="002F5834" w:rsidRPr="00307753">
        <w:rPr>
          <w:rFonts w:eastAsia="Calibri" w:cs="Calibri"/>
        </w:rPr>
        <w:t>well-defined</w:t>
      </w:r>
      <w:r w:rsidR="00A069B5" w:rsidRPr="00307753">
        <w:rPr>
          <w:rFonts w:eastAsia="Calibri" w:cs="Calibri"/>
        </w:rPr>
        <w:t xml:space="preserve"> publication date. Acceptance dates are often unavailable. This has a risk of incorrectly reporting REF OA compliance or contravening publisher’s rights. </w:t>
      </w:r>
    </w:p>
    <w:p w14:paraId="2373F2DA" w14:textId="68DD5136" w:rsidR="00A069B5" w:rsidRPr="00307753" w:rsidRDefault="00A069B5" w:rsidP="00A069B5">
      <w:pPr>
        <w:spacing w:before="120" w:after="120"/>
        <w:rPr>
          <w:rFonts w:eastAsia="Calibri" w:cs="Calibri"/>
          <w:b/>
          <w:bCs/>
        </w:rPr>
      </w:pPr>
      <w:r w:rsidRPr="00307753">
        <w:rPr>
          <w:rFonts w:eastAsia="Calibri" w:cs="Calibri"/>
        </w:rPr>
        <w:t xml:space="preserve">The university mitigates this risk by encouraging authors to deposit evidence </w:t>
      </w:r>
      <w:r w:rsidR="00125A7E">
        <w:rPr>
          <w:rFonts w:eastAsia="Calibri" w:cs="Calibri"/>
        </w:rPr>
        <w:t>of a</w:t>
      </w:r>
      <w:r w:rsidRPr="00307753">
        <w:rPr>
          <w:rFonts w:eastAsia="Calibri" w:cs="Calibri"/>
        </w:rPr>
        <w:t xml:space="preserve">cceptance in RIS; and, by attention to detail by expert staff during curation.  </w:t>
      </w:r>
    </w:p>
    <w:p w14:paraId="572191B4" w14:textId="77777777" w:rsidR="00D22616" w:rsidRPr="00307753" w:rsidRDefault="00D22616" w:rsidP="00A069B5">
      <w:pPr>
        <w:spacing w:before="120" w:after="120"/>
        <w:rPr>
          <w:rFonts w:eastAsia="Calibri" w:cs="Calibri"/>
          <w:b/>
          <w:bCs/>
        </w:rPr>
      </w:pPr>
      <w:r w:rsidRPr="00307753">
        <w:rPr>
          <w:rFonts w:eastAsia="Calibri" w:cs="Calibri"/>
          <w:b/>
          <w:bCs/>
        </w:rPr>
        <w:t xml:space="preserve">4 </w:t>
      </w:r>
      <w:r w:rsidR="00A069B5" w:rsidRPr="00307753">
        <w:rPr>
          <w:rFonts w:eastAsia="Calibri" w:cs="Calibri"/>
          <w:b/>
          <w:bCs/>
        </w:rPr>
        <w:t>Lack of clarity in publisher expectations</w:t>
      </w:r>
    </w:p>
    <w:p w14:paraId="541B3743" w14:textId="3323D85D" w:rsidR="001B2527" w:rsidRPr="00307753" w:rsidRDefault="00A069B5" w:rsidP="00A069B5">
      <w:pPr>
        <w:spacing w:before="120" w:after="120"/>
        <w:rPr>
          <w:rFonts w:eastAsia="Calibri" w:cs="Calibri"/>
        </w:rPr>
      </w:pPr>
      <w:r w:rsidRPr="00307753">
        <w:rPr>
          <w:rFonts w:eastAsia="Calibri" w:cs="Calibri"/>
        </w:rPr>
        <w:t xml:space="preserve">License and right statements are often missing or ambiguous. Small publishers and conferences often do not consider OA at all. This has risks of contravening publisher’s rights via incorrect action; and, of frustrating OA via risk adverse behavior of authors, leading to a failure to deposit. </w:t>
      </w:r>
    </w:p>
    <w:p w14:paraId="32386A77" w14:textId="69B5F854" w:rsidR="00A069B5" w:rsidRPr="00307753" w:rsidRDefault="00A069B5" w:rsidP="00A069B5">
      <w:pPr>
        <w:spacing w:before="120" w:after="120"/>
        <w:rPr>
          <w:rFonts w:eastAsia="Calibri" w:cs="Calibri"/>
        </w:rPr>
      </w:pPr>
      <w:r w:rsidRPr="00307753">
        <w:rPr>
          <w:rFonts w:eastAsia="Calibri" w:cs="Calibri"/>
        </w:rPr>
        <w:t xml:space="preserve">The university mitigates this risk through the use of the SHERPA/ROMEO database of publisher policies; seeking permission from publishers; attention to detail by expert staff during curation; and, by emphasizing </w:t>
      </w:r>
      <w:r w:rsidR="001B2527" w:rsidRPr="00307753">
        <w:rPr>
          <w:rFonts w:eastAsia="Calibri" w:cs="Calibri"/>
        </w:rPr>
        <w:t>that</w:t>
      </w:r>
      <w:r w:rsidRPr="00307753">
        <w:rPr>
          <w:rFonts w:eastAsia="Calibri" w:cs="Calibri"/>
        </w:rPr>
        <w:t xml:space="preserve"> authors </w:t>
      </w:r>
      <w:r w:rsidR="001B2527" w:rsidRPr="00307753">
        <w:rPr>
          <w:rFonts w:eastAsia="Calibri" w:cs="Calibri"/>
        </w:rPr>
        <w:t xml:space="preserve">have a </w:t>
      </w:r>
      <w:r w:rsidRPr="00307753">
        <w:rPr>
          <w:rFonts w:eastAsia="Calibri" w:cs="Calibri"/>
        </w:rPr>
        <w:t>safety net of RSC oversight.</w:t>
      </w:r>
    </w:p>
    <w:p w14:paraId="3C886259" w14:textId="77777777" w:rsidR="00D22616" w:rsidRPr="00307753" w:rsidRDefault="00D22616" w:rsidP="007A47F8">
      <w:pPr>
        <w:spacing w:before="120" w:after="120"/>
        <w:rPr>
          <w:rFonts w:eastAsia="Calibri" w:cs="Calibri"/>
          <w:b/>
          <w:bCs/>
        </w:rPr>
      </w:pPr>
      <w:r w:rsidRPr="00307753">
        <w:rPr>
          <w:rFonts w:eastAsia="Calibri" w:cs="Calibri"/>
          <w:b/>
          <w:bCs/>
        </w:rPr>
        <w:t xml:space="preserve">5 </w:t>
      </w:r>
      <w:r w:rsidR="00A069B5" w:rsidRPr="00307753">
        <w:rPr>
          <w:rFonts w:eastAsia="Calibri" w:cs="Calibri"/>
          <w:b/>
          <w:bCs/>
        </w:rPr>
        <w:t>Resource constraints</w:t>
      </w:r>
    </w:p>
    <w:p w14:paraId="0A2ACB35" w14:textId="77777777" w:rsidR="001B2527" w:rsidRPr="00307753" w:rsidRDefault="00A069B5" w:rsidP="007A47F8">
      <w:pPr>
        <w:spacing w:before="120" w:after="120"/>
        <w:rPr>
          <w:rFonts w:eastAsia="Calibri" w:cs="Calibri"/>
        </w:rPr>
      </w:pPr>
      <w:r w:rsidRPr="00307753">
        <w:rPr>
          <w:rFonts w:eastAsia="Calibri" w:cs="Calibri"/>
        </w:rPr>
        <w:t xml:space="preserve">2 to 3 FTE is deployed in various processes, interventions and advocacies intended to achieve Open Access. </w:t>
      </w:r>
    </w:p>
    <w:p w14:paraId="3833BFD2" w14:textId="77777777" w:rsidR="001B2527" w:rsidRPr="00307753" w:rsidRDefault="00A069B5" w:rsidP="007A47F8">
      <w:pPr>
        <w:spacing w:before="120" w:after="120"/>
        <w:rPr>
          <w:rFonts w:eastAsia="Calibri" w:cs="Calibri"/>
        </w:rPr>
      </w:pPr>
      <w:r w:rsidRPr="00307753">
        <w:rPr>
          <w:rFonts w:eastAsia="Calibri" w:cs="Calibri"/>
        </w:rPr>
        <w:t>The effort of establishing compliance for ou</w:t>
      </w:r>
      <w:r w:rsidR="001B2527" w:rsidRPr="00307753">
        <w:rPr>
          <w:rFonts w:eastAsia="Calibri" w:cs="Calibri"/>
        </w:rPr>
        <w:t>t</w:t>
      </w:r>
      <w:r w:rsidRPr="00307753">
        <w:rPr>
          <w:rFonts w:eastAsia="Calibri" w:cs="Calibri"/>
        </w:rPr>
        <w:t>puts subject to REF2021 OA Policy consumes a significant and detrimental proportion of this resource. As a result, the pursuit of OA for outputs not subject to the policy is diminished. This has a risk of missed opportunity to achieve OA across the whole output portfolio.</w:t>
      </w:r>
    </w:p>
    <w:p w14:paraId="75B8B234" w14:textId="1655C04A" w:rsidR="00C756F1" w:rsidRPr="007917C6" w:rsidRDefault="00A069B5" w:rsidP="007917C6">
      <w:pPr>
        <w:spacing w:before="120" w:after="120"/>
        <w:rPr>
          <w:rFonts w:eastAsia="Calibri" w:cs="Calibri"/>
        </w:rPr>
      </w:pPr>
      <w:r w:rsidRPr="00307753">
        <w:rPr>
          <w:rFonts w:eastAsia="Calibri" w:cs="Calibri"/>
        </w:rPr>
        <w:t>The university mitigates this risk through an emphasis on OA ‘everywhere’ during training; and, consistent requests for ‘</w:t>
      </w:r>
      <w:r w:rsidR="00377254" w:rsidRPr="00307753">
        <w:rPr>
          <w:rFonts w:eastAsia="Calibri" w:cs="Calibri"/>
        </w:rPr>
        <w:t>self-deposit</w:t>
      </w:r>
      <w:r w:rsidRPr="00307753">
        <w:rPr>
          <w:rFonts w:eastAsia="Calibri" w:cs="Calibri"/>
        </w:rPr>
        <w:t>’ during initial curation.</w:t>
      </w:r>
    </w:p>
    <w:p w14:paraId="7FA6A20E" w14:textId="002D3E1C" w:rsidR="00D86A2E" w:rsidRPr="0053014F" w:rsidRDefault="00D86A2E" w:rsidP="0053014F">
      <w:pPr>
        <w:pStyle w:val="Heading1"/>
      </w:pPr>
      <w:bookmarkStart w:id="24" w:name="_Appendix_F_"/>
      <w:bookmarkStart w:id="25" w:name="_Toc65071802"/>
      <w:bookmarkEnd w:id="24"/>
      <w:r w:rsidRPr="0053014F">
        <w:lastRenderedPageBreak/>
        <w:t xml:space="preserve">Appendix F </w:t>
      </w:r>
      <w:r w:rsidR="00647DBE" w:rsidRPr="0053014F">
        <w:tab/>
      </w:r>
      <w:r w:rsidR="00034F36" w:rsidRPr="0053014F">
        <w:t>Specimen</w:t>
      </w:r>
      <w:r w:rsidRPr="0053014F">
        <w:t xml:space="preserve"> Research </w:t>
      </w:r>
      <w:r w:rsidR="00B3587A" w:rsidRPr="0053014F">
        <w:t xml:space="preserve">Committee </w:t>
      </w:r>
      <w:r w:rsidR="00664897">
        <w:t>r</w:t>
      </w:r>
      <w:r w:rsidRPr="0053014F">
        <w:t>eport</w:t>
      </w:r>
      <w:r w:rsidR="00896621" w:rsidRPr="0053014F">
        <w:t xml:space="preserve"> (extract)</w:t>
      </w:r>
      <w:bookmarkEnd w:id="25"/>
    </w:p>
    <w:p w14:paraId="53FA9C24" w14:textId="77777777" w:rsidR="00307753" w:rsidRPr="00307753" w:rsidRDefault="00307753" w:rsidP="00D86A2E">
      <w:pPr>
        <w:rPr>
          <w:rFonts w:cs="Arial"/>
          <w:color w:val="000000" w:themeColor="text1"/>
          <w:sz w:val="20"/>
          <w:szCs w:val="20"/>
        </w:rPr>
      </w:pPr>
    </w:p>
    <w:p w14:paraId="2862B60E" w14:textId="7ABAF46B" w:rsidR="00B3587A" w:rsidRPr="00C756F1" w:rsidRDefault="00B3587A" w:rsidP="002F48B0">
      <w:pPr>
        <w:spacing w:line="240" w:lineRule="auto"/>
        <w:rPr>
          <w:rFonts w:cs="Arial"/>
          <w:color w:val="000000" w:themeColor="text1"/>
        </w:rPr>
      </w:pPr>
      <w:r w:rsidRPr="00307753">
        <w:rPr>
          <w:rFonts w:cs="Arial"/>
          <w:color w:val="000000" w:themeColor="text1"/>
        </w:rPr>
        <w:t xml:space="preserve">OA </w:t>
      </w:r>
      <w:r w:rsidR="00016753" w:rsidRPr="00307753">
        <w:rPr>
          <w:rFonts w:cs="Arial"/>
          <w:color w:val="000000" w:themeColor="text1"/>
        </w:rPr>
        <w:t xml:space="preserve">reporting sections </w:t>
      </w:r>
      <w:r w:rsidR="002F48B0">
        <w:rPr>
          <w:rFonts w:cs="Arial"/>
          <w:color w:val="000000" w:themeColor="text1"/>
        </w:rPr>
        <w:t xml:space="preserve">are </w:t>
      </w:r>
      <w:r w:rsidR="00016753" w:rsidRPr="00307753">
        <w:rPr>
          <w:rFonts w:cs="Arial"/>
          <w:color w:val="000000" w:themeColor="text1"/>
        </w:rPr>
        <w:t xml:space="preserve">highlighted </w:t>
      </w:r>
      <w:r w:rsidR="002F48B0" w:rsidRPr="002F48B0">
        <w:rPr>
          <w:rFonts w:cs="Arial"/>
          <w:color w:val="000000" w:themeColor="text1"/>
          <w14:textOutline w14:w="9525" w14:cap="rnd" w14:cmpd="sng" w14:algn="ctr">
            <w14:solidFill>
              <w14:schemeClr w14:val="accent1"/>
            </w14:solidFill>
            <w14:prstDash w14:val="solid"/>
            <w14:bevel/>
          </w14:textOutline>
        </w:rPr>
        <w:t xml:space="preserve">blue </w:t>
      </w:r>
      <w:r w:rsidR="00016753" w:rsidRPr="00307753">
        <w:rPr>
          <w:rFonts w:cs="Arial"/>
          <w:color w:val="000000" w:themeColor="text1"/>
        </w:rPr>
        <w:t xml:space="preserve">in the following report sections  </w:t>
      </w:r>
    </w:p>
    <w:p w14:paraId="25401240" w14:textId="7245A27D" w:rsidR="00D86A2E" w:rsidRPr="00876E66" w:rsidRDefault="00D86A2E" w:rsidP="00D86A2E">
      <w:pPr>
        <w:rPr>
          <w:rFonts w:cs="Arial"/>
          <w:b/>
          <w:bCs/>
          <w:color w:val="000000" w:themeColor="text1"/>
        </w:rPr>
      </w:pPr>
      <w:r w:rsidRPr="00876E66">
        <w:rPr>
          <w:rFonts w:cs="Arial"/>
          <w:b/>
          <w:bCs/>
          <w:color w:val="000000" w:themeColor="text1"/>
        </w:rPr>
        <w:t xml:space="preserve">1 </w:t>
      </w:r>
      <w:r w:rsidRPr="00876E66">
        <w:rPr>
          <w:rFonts w:cs="Arial"/>
          <w:b/>
          <w:bCs/>
          <w:color w:val="000000" w:themeColor="text1"/>
        </w:rPr>
        <w:tab/>
        <w:t>RIS / UHRA in numbers</w:t>
      </w:r>
    </w:p>
    <w:p w14:paraId="40704038" w14:textId="07534277" w:rsidR="00D86A2E" w:rsidRPr="00307753" w:rsidRDefault="00D86A2E" w:rsidP="00D86A2E">
      <w:pPr>
        <w:rPr>
          <w:rFonts w:cs="Arial"/>
          <w:color w:val="000000" w:themeColor="text1"/>
          <w:sz w:val="20"/>
          <w:szCs w:val="20"/>
        </w:rPr>
      </w:pPr>
      <w:r w:rsidRPr="00307753">
        <w:rPr>
          <w:rFonts w:cs="Arial"/>
          <w:color w:val="000000" w:themeColor="text1"/>
          <w:sz w:val="20"/>
          <w:szCs w:val="20"/>
        </w:rPr>
        <w:t xml:space="preserve">UH has two public facing systems for presenting our research: RIS portal, which presents our work via </w:t>
      </w:r>
      <w:hyperlink r:id="rId34">
        <w:r w:rsidRPr="00307753">
          <w:rPr>
            <w:rStyle w:val="Hyperlink"/>
            <w:rFonts w:cs="Arial"/>
            <w:color w:val="000000" w:themeColor="text1"/>
            <w:sz w:val="20"/>
            <w:szCs w:val="20"/>
          </w:rPr>
          <w:t>research staff profiles</w:t>
        </w:r>
      </w:hyperlink>
      <w:r w:rsidRPr="00307753">
        <w:rPr>
          <w:rFonts w:cs="Arial"/>
          <w:color w:val="000000" w:themeColor="text1"/>
          <w:sz w:val="20"/>
          <w:szCs w:val="20"/>
        </w:rPr>
        <w:t xml:space="preserve">; and </w:t>
      </w:r>
      <w:hyperlink r:id="rId35">
        <w:r w:rsidRPr="00307753">
          <w:rPr>
            <w:rStyle w:val="Hyperlink"/>
            <w:rFonts w:cs="Arial"/>
            <w:color w:val="000000" w:themeColor="text1"/>
            <w:sz w:val="20"/>
            <w:szCs w:val="20"/>
          </w:rPr>
          <w:t>UHRA</w:t>
        </w:r>
      </w:hyperlink>
      <w:r w:rsidRPr="00307753">
        <w:rPr>
          <w:rFonts w:cs="Arial"/>
          <w:color w:val="000000" w:themeColor="text1"/>
          <w:sz w:val="20"/>
          <w:szCs w:val="20"/>
        </w:rPr>
        <w:t xml:space="preserve">, which is our repository for open access and long term preservation of research outputs.   </w:t>
      </w:r>
    </w:p>
    <w:tbl>
      <w:tblPr>
        <w:tblStyle w:val="TableGrid"/>
        <w:tblW w:w="8389" w:type="dxa"/>
        <w:tblLayout w:type="fixed"/>
        <w:tblLook w:val="04A0" w:firstRow="1" w:lastRow="0" w:firstColumn="1" w:lastColumn="0" w:noHBand="0" w:noVBand="1"/>
      </w:tblPr>
      <w:tblGrid>
        <w:gridCol w:w="1511"/>
        <w:gridCol w:w="992"/>
        <w:gridCol w:w="992"/>
        <w:gridCol w:w="851"/>
        <w:gridCol w:w="992"/>
        <w:gridCol w:w="992"/>
        <w:gridCol w:w="993"/>
        <w:gridCol w:w="1066"/>
      </w:tblGrid>
      <w:tr w:rsidR="00721758" w:rsidRPr="00307753" w14:paraId="00E31083" w14:textId="77777777" w:rsidTr="00721758">
        <w:trPr>
          <w:trHeight w:val="719"/>
        </w:trPr>
        <w:tc>
          <w:tcPr>
            <w:tcW w:w="1511" w:type="dxa"/>
          </w:tcPr>
          <w:p w14:paraId="2D5C7C16" w14:textId="77777777" w:rsidR="00721758" w:rsidRPr="00307753" w:rsidRDefault="00721758" w:rsidP="00440398">
            <w:pPr>
              <w:rPr>
                <w:rFonts w:cs="Arial"/>
                <w:b/>
                <w:bCs/>
                <w:color w:val="000000" w:themeColor="text1"/>
                <w:sz w:val="20"/>
                <w:szCs w:val="20"/>
              </w:rPr>
            </w:pPr>
          </w:p>
        </w:tc>
        <w:tc>
          <w:tcPr>
            <w:tcW w:w="992" w:type="dxa"/>
          </w:tcPr>
          <w:p w14:paraId="53F4A4D7" w14:textId="77777777" w:rsidR="00721758" w:rsidRPr="00307753" w:rsidRDefault="00721758" w:rsidP="00440398">
            <w:pPr>
              <w:jc w:val="center"/>
              <w:rPr>
                <w:rFonts w:eastAsia="Times New Roman" w:cs="Arial"/>
                <w:color w:val="000000" w:themeColor="text1"/>
                <w:sz w:val="20"/>
                <w:szCs w:val="20"/>
              </w:rPr>
            </w:pPr>
          </w:p>
          <w:p w14:paraId="6B64ADBC" w14:textId="77777777" w:rsidR="00721758" w:rsidRPr="00307753" w:rsidRDefault="00721758" w:rsidP="00440398">
            <w:pPr>
              <w:jc w:val="center"/>
              <w:rPr>
                <w:rFonts w:eastAsia="Times New Roman" w:cs="Arial"/>
                <w:color w:val="000000" w:themeColor="text1"/>
                <w:sz w:val="20"/>
                <w:szCs w:val="20"/>
              </w:rPr>
            </w:pPr>
            <w:r w:rsidRPr="00307753">
              <w:rPr>
                <w:rFonts w:eastAsia="Times New Roman" w:cs="Arial"/>
                <w:color w:val="000000" w:themeColor="text1"/>
                <w:sz w:val="20"/>
                <w:szCs w:val="20"/>
              </w:rPr>
              <w:t>May-19</w:t>
            </w:r>
          </w:p>
          <w:p w14:paraId="1069F924" w14:textId="77777777" w:rsidR="00721758" w:rsidRPr="00307753" w:rsidRDefault="00721758" w:rsidP="00440398">
            <w:pPr>
              <w:jc w:val="center"/>
              <w:rPr>
                <w:rFonts w:eastAsia="Times New Roman" w:cs="Arial"/>
                <w:color w:val="000000" w:themeColor="text1"/>
                <w:sz w:val="20"/>
                <w:szCs w:val="20"/>
              </w:rPr>
            </w:pPr>
          </w:p>
        </w:tc>
        <w:tc>
          <w:tcPr>
            <w:tcW w:w="992" w:type="dxa"/>
          </w:tcPr>
          <w:p w14:paraId="4C8786A9" w14:textId="77777777" w:rsidR="00721758" w:rsidRPr="00307753" w:rsidRDefault="00721758" w:rsidP="00440398">
            <w:pPr>
              <w:jc w:val="center"/>
              <w:rPr>
                <w:rFonts w:eastAsia="Times New Roman" w:cs="Arial"/>
                <w:color w:val="000000" w:themeColor="text1"/>
                <w:sz w:val="20"/>
                <w:szCs w:val="20"/>
              </w:rPr>
            </w:pPr>
          </w:p>
          <w:p w14:paraId="0645DE29" w14:textId="77777777" w:rsidR="00721758" w:rsidRPr="00307753" w:rsidRDefault="00721758" w:rsidP="00440398">
            <w:pPr>
              <w:jc w:val="center"/>
              <w:rPr>
                <w:rFonts w:eastAsia="Times New Roman" w:cs="Arial"/>
                <w:color w:val="000000" w:themeColor="text1"/>
                <w:sz w:val="20"/>
                <w:szCs w:val="20"/>
              </w:rPr>
            </w:pPr>
            <w:r w:rsidRPr="00307753">
              <w:rPr>
                <w:rFonts w:eastAsia="Times New Roman" w:cs="Arial"/>
                <w:color w:val="000000" w:themeColor="text1"/>
                <w:sz w:val="20"/>
                <w:szCs w:val="20"/>
              </w:rPr>
              <w:t>Oct-19</w:t>
            </w:r>
          </w:p>
        </w:tc>
        <w:tc>
          <w:tcPr>
            <w:tcW w:w="851" w:type="dxa"/>
          </w:tcPr>
          <w:p w14:paraId="4168796D" w14:textId="77777777" w:rsidR="00721758" w:rsidRPr="00307753" w:rsidRDefault="00721758" w:rsidP="00440398">
            <w:pPr>
              <w:jc w:val="center"/>
              <w:rPr>
                <w:rFonts w:eastAsia="Times New Roman" w:cs="Arial"/>
                <w:color w:val="000000" w:themeColor="text1"/>
                <w:sz w:val="20"/>
                <w:szCs w:val="20"/>
              </w:rPr>
            </w:pPr>
          </w:p>
          <w:p w14:paraId="60071CB8" w14:textId="77777777" w:rsidR="00721758" w:rsidRPr="00307753" w:rsidRDefault="00721758" w:rsidP="00440398">
            <w:pPr>
              <w:jc w:val="center"/>
              <w:rPr>
                <w:rFonts w:eastAsia="Times New Roman" w:cs="Arial"/>
                <w:color w:val="000000" w:themeColor="text1"/>
                <w:sz w:val="20"/>
                <w:szCs w:val="20"/>
              </w:rPr>
            </w:pPr>
            <w:r w:rsidRPr="00307753">
              <w:rPr>
                <w:rFonts w:eastAsia="Times New Roman" w:cs="Arial"/>
                <w:color w:val="000000" w:themeColor="text1"/>
                <w:sz w:val="20"/>
                <w:szCs w:val="20"/>
              </w:rPr>
              <w:t>Feb-20</w:t>
            </w:r>
          </w:p>
        </w:tc>
        <w:tc>
          <w:tcPr>
            <w:tcW w:w="992" w:type="dxa"/>
          </w:tcPr>
          <w:p w14:paraId="0BE59BAF" w14:textId="77777777" w:rsidR="00721758" w:rsidRPr="00307753" w:rsidRDefault="00721758" w:rsidP="00440398">
            <w:pPr>
              <w:jc w:val="center"/>
              <w:rPr>
                <w:rFonts w:eastAsia="Times New Roman" w:cs="Arial"/>
                <w:color w:val="000000" w:themeColor="text1"/>
                <w:sz w:val="20"/>
                <w:szCs w:val="20"/>
              </w:rPr>
            </w:pPr>
          </w:p>
          <w:p w14:paraId="02923E14" w14:textId="77777777" w:rsidR="00721758" w:rsidRPr="00307753" w:rsidRDefault="00721758" w:rsidP="00440398">
            <w:pPr>
              <w:jc w:val="center"/>
              <w:rPr>
                <w:rFonts w:eastAsia="Times New Roman" w:cs="Arial"/>
                <w:color w:val="000000" w:themeColor="text1"/>
                <w:sz w:val="20"/>
                <w:szCs w:val="20"/>
              </w:rPr>
            </w:pPr>
            <w:r w:rsidRPr="00307753">
              <w:rPr>
                <w:rFonts w:eastAsia="Times New Roman" w:cs="Arial"/>
                <w:color w:val="000000" w:themeColor="text1"/>
                <w:sz w:val="20"/>
                <w:szCs w:val="20"/>
              </w:rPr>
              <w:t>May-20</w:t>
            </w:r>
          </w:p>
          <w:p w14:paraId="3F642CE7" w14:textId="77777777" w:rsidR="00721758" w:rsidRPr="00307753" w:rsidRDefault="00721758" w:rsidP="00440398">
            <w:pPr>
              <w:jc w:val="center"/>
              <w:rPr>
                <w:rFonts w:eastAsia="Times New Roman" w:cs="Arial"/>
                <w:color w:val="000000" w:themeColor="text1"/>
                <w:sz w:val="20"/>
                <w:szCs w:val="20"/>
              </w:rPr>
            </w:pPr>
          </w:p>
        </w:tc>
        <w:tc>
          <w:tcPr>
            <w:tcW w:w="992" w:type="dxa"/>
          </w:tcPr>
          <w:p w14:paraId="011B7723" w14:textId="77777777" w:rsidR="00721758" w:rsidRPr="00307753" w:rsidRDefault="00721758" w:rsidP="00440398">
            <w:pPr>
              <w:jc w:val="center"/>
              <w:rPr>
                <w:rFonts w:eastAsia="Times New Roman" w:cs="Arial"/>
                <w:color w:val="000000" w:themeColor="text1"/>
                <w:sz w:val="20"/>
                <w:szCs w:val="20"/>
              </w:rPr>
            </w:pPr>
          </w:p>
          <w:p w14:paraId="15B61C56" w14:textId="77777777" w:rsidR="00721758" w:rsidRPr="00307753" w:rsidRDefault="00721758" w:rsidP="00440398">
            <w:pPr>
              <w:jc w:val="center"/>
              <w:rPr>
                <w:rFonts w:eastAsia="Times New Roman" w:cs="Arial"/>
                <w:color w:val="000000" w:themeColor="text1"/>
                <w:sz w:val="20"/>
                <w:szCs w:val="20"/>
              </w:rPr>
            </w:pPr>
            <w:r w:rsidRPr="00307753">
              <w:rPr>
                <w:rFonts w:eastAsia="Times New Roman" w:cs="Arial"/>
                <w:color w:val="000000" w:themeColor="text1"/>
                <w:sz w:val="20"/>
                <w:szCs w:val="20"/>
              </w:rPr>
              <w:t>Oct-20</w:t>
            </w:r>
          </w:p>
        </w:tc>
        <w:tc>
          <w:tcPr>
            <w:tcW w:w="993" w:type="dxa"/>
          </w:tcPr>
          <w:p w14:paraId="0669BF93" w14:textId="77777777" w:rsidR="00721758" w:rsidRPr="00307753" w:rsidRDefault="00721758" w:rsidP="00440398">
            <w:pPr>
              <w:jc w:val="center"/>
              <w:rPr>
                <w:rFonts w:eastAsia="Times New Roman" w:cs="Arial"/>
                <w:b/>
                <w:bCs/>
                <w:color w:val="000000" w:themeColor="text1"/>
                <w:sz w:val="20"/>
                <w:szCs w:val="20"/>
              </w:rPr>
            </w:pPr>
          </w:p>
          <w:p w14:paraId="21E72F73" w14:textId="77777777" w:rsidR="00721758" w:rsidRPr="00307753" w:rsidRDefault="00721758" w:rsidP="00440398">
            <w:pPr>
              <w:jc w:val="center"/>
              <w:rPr>
                <w:rFonts w:eastAsia="Times New Roman" w:cs="Arial"/>
                <w:color w:val="000000" w:themeColor="text1"/>
                <w:sz w:val="20"/>
                <w:szCs w:val="20"/>
              </w:rPr>
            </w:pPr>
            <w:r w:rsidRPr="00307753">
              <w:rPr>
                <w:rFonts w:eastAsia="Times New Roman" w:cs="Arial"/>
                <w:b/>
                <w:bCs/>
                <w:color w:val="000000" w:themeColor="text1"/>
                <w:sz w:val="20"/>
                <w:szCs w:val="20"/>
              </w:rPr>
              <w:t>Feb-21</w:t>
            </w:r>
          </w:p>
        </w:tc>
        <w:tc>
          <w:tcPr>
            <w:tcW w:w="1066" w:type="dxa"/>
          </w:tcPr>
          <w:p w14:paraId="3D142415" w14:textId="77777777" w:rsidR="00721758" w:rsidRPr="00307753" w:rsidRDefault="00721758" w:rsidP="00440398">
            <w:pPr>
              <w:jc w:val="center"/>
              <w:rPr>
                <w:rFonts w:eastAsia="Times New Roman" w:cs="Arial"/>
                <w:color w:val="000000" w:themeColor="text1"/>
                <w:sz w:val="20"/>
                <w:szCs w:val="20"/>
              </w:rPr>
            </w:pPr>
          </w:p>
          <w:p w14:paraId="48B91EE5" w14:textId="77777777" w:rsidR="00721758" w:rsidRPr="00307753" w:rsidRDefault="00721758" w:rsidP="00440398">
            <w:pPr>
              <w:jc w:val="center"/>
              <w:rPr>
                <w:rFonts w:cs="Arial"/>
                <w:color w:val="000000" w:themeColor="text1"/>
                <w:sz w:val="20"/>
                <w:szCs w:val="20"/>
              </w:rPr>
            </w:pPr>
            <w:r w:rsidRPr="00307753">
              <w:rPr>
                <w:rFonts w:cs="Arial"/>
                <w:color w:val="000000" w:themeColor="text1"/>
                <w:sz w:val="20"/>
                <w:szCs w:val="20"/>
              </w:rPr>
              <w:t>change</w:t>
            </w:r>
          </w:p>
        </w:tc>
      </w:tr>
      <w:tr w:rsidR="00721758" w:rsidRPr="00307753" w14:paraId="511FE2D3" w14:textId="77777777" w:rsidTr="00721758">
        <w:trPr>
          <w:trHeight w:val="567"/>
        </w:trPr>
        <w:tc>
          <w:tcPr>
            <w:tcW w:w="1511" w:type="dxa"/>
            <w:vAlign w:val="center"/>
          </w:tcPr>
          <w:p w14:paraId="21FD127C" w14:textId="77777777" w:rsidR="00721758" w:rsidRPr="00307753" w:rsidRDefault="00721758" w:rsidP="00440398">
            <w:pPr>
              <w:jc w:val="center"/>
              <w:rPr>
                <w:rFonts w:cs="Arial"/>
                <w:color w:val="000000" w:themeColor="text1"/>
                <w:sz w:val="20"/>
                <w:szCs w:val="20"/>
              </w:rPr>
            </w:pPr>
            <w:r w:rsidRPr="00307753">
              <w:rPr>
                <w:rFonts w:eastAsia="Times New Roman" w:cs="Arial"/>
                <w:color w:val="000000" w:themeColor="text1"/>
                <w:sz w:val="20"/>
                <w:szCs w:val="20"/>
              </w:rPr>
              <w:t>RIS research outputs</w:t>
            </w:r>
          </w:p>
        </w:tc>
        <w:tc>
          <w:tcPr>
            <w:tcW w:w="992" w:type="dxa"/>
            <w:vAlign w:val="center"/>
          </w:tcPr>
          <w:p w14:paraId="126CAAD7" w14:textId="77777777" w:rsidR="00721758" w:rsidRPr="00307753" w:rsidRDefault="00721758" w:rsidP="00440398">
            <w:pPr>
              <w:rPr>
                <w:rFonts w:cs="Arial"/>
                <w:color w:val="000000" w:themeColor="text1"/>
                <w:sz w:val="20"/>
                <w:szCs w:val="20"/>
              </w:rPr>
            </w:pPr>
            <w:r w:rsidRPr="00307753">
              <w:rPr>
                <w:rFonts w:cs="Arial"/>
                <w:color w:val="000000" w:themeColor="text1"/>
                <w:sz w:val="20"/>
                <w:szCs w:val="20"/>
              </w:rPr>
              <w:t>23652</w:t>
            </w:r>
          </w:p>
        </w:tc>
        <w:tc>
          <w:tcPr>
            <w:tcW w:w="992" w:type="dxa"/>
            <w:vAlign w:val="center"/>
          </w:tcPr>
          <w:p w14:paraId="6DE2C6CB" w14:textId="77777777" w:rsidR="00721758" w:rsidRPr="00307753" w:rsidRDefault="00721758" w:rsidP="00440398">
            <w:pPr>
              <w:rPr>
                <w:rFonts w:cs="Arial"/>
                <w:color w:val="000000" w:themeColor="text1"/>
                <w:sz w:val="20"/>
                <w:szCs w:val="20"/>
              </w:rPr>
            </w:pPr>
            <w:r w:rsidRPr="00307753">
              <w:rPr>
                <w:rFonts w:cs="Arial"/>
                <w:color w:val="000000" w:themeColor="text1"/>
                <w:sz w:val="20"/>
                <w:szCs w:val="20"/>
              </w:rPr>
              <w:t>24183</w:t>
            </w:r>
          </w:p>
        </w:tc>
        <w:tc>
          <w:tcPr>
            <w:tcW w:w="851" w:type="dxa"/>
            <w:vAlign w:val="center"/>
          </w:tcPr>
          <w:p w14:paraId="2FF14349" w14:textId="77777777" w:rsidR="00721758" w:rsidRPr="00307753" w:rsidRDefault="00721758" w:rsidP="00440398">
            <w:pPr>
              <w:rPr>
                <w:rFonts w:cs="Arial"/>
                <w:color w:val="000000" w:themeColor="text1"/>
                <w:sz w:val="20"/>
                <w:szCs w:val="20"/>
              </w:rPr>
            </w:pPr>
            <w:r w:rsidRPr="00307753">
              <w:rPr>
                <w:rFonts w:cs="Arial"/>
                <w:color w:val="000000" w:themeColor="text1"/>
                <w:sz w:val="20"/>
                <w:szCs w:val="20"/>
              </w:rPr>
              <w:t>25259</w:t>
            </w:r>
          </w:p>
        </w:tc>
        <w:tc>
          <w:tcPr>
            <w:tcW w:w="992" w:type="dxa"/>
            <w:vAlign w:val="center"/>
          </w:tcPr>
          <w:p w14:paraId="55AF082F" w14:textId="77777777" w:rsidR="00721758" w:rsidRPr="00307753" w:rsidRDefault="00721758" w:rsidP="00440398">
            <w:pPr>
              <w:rPr>
                <w:rFonts w:cs="Arial"/>
                <w:color w:val="000000" w:themeColor="text1"/>
                <w:sz w:val="20"/>
                <w:szCs w:val="20"/>
              </w:rPr>
            </w:pPr>
            <w:r w:rsidRPr="00307753">
              <w:rPr>
                <w:rFonts w:cs="Arial"/>
                <w:color w:val="000000" w:themeColor="text1"/>
                <w:sz w:val="20"/>
                <w:szCs w:val="20"/>
              </w:rPr>
              <w:t>25543</w:t>
            </w:r>
          </w:p>
        </w:tc>
        <w:tc>
          <w:tcPr>
            <w:tcW w:w="992" w:type="dxa"/>
            <w:vAlign w:val="center"/>
          </w:tcPr>
          <w:p w14:paraId="36D9C38C" w14:textId="77777777" w:rsidR="00721758" w:rsidRPr="00307753" w:rsidRDefault="00721758" w:rsidP="00440398">
            <w:pPr>
              <w:rPr>
                <w:rFonts w:cs="Arial"/>
                <w:color w:val="000000" w:themeColor="text1"/>
                <w:sz w:val="20"/>
                <w:szCs w:val="20"/>
              </w:rPr>
            </w:pPr>
            <w:r w:rsidRPr="00307753">
              <w:rPr>
                <w:rFonts w:cs="Arial"/>
                <w:color w:val="000000" w:themeColor="text1"/>
                <w:sz w:val="20"/>
                <w:szCs w:val="20"/>
              </w:rPr>
              <w:t>26205</w:t>
            </w:r>
          </w:p>
        </w:tc>
        <w:tc>
          <w:tcPr>
            <w:tcW w:w="993" w:type="dxa"/>
            <w:vAlign w:val="center"/>
          </w:tcPr>
          <w:p w14:paraId="5B2FAED8" w14:textId="77777777" w:rsidR="00721758" w:rsidRPr="00307753" w:rsidRDefault="00721758" w:rsidP="00440398">
            <w:pPr>
              <w:jc w:val="center"/>
              <w:rPr>
                <w:rFonts w:eastAsia="Times New Roman" w:cs="Arial"/>
                <w:color w:val="000000" w:themeColor="text1"/>
                <w:sz w:val="20"/>
                <w:szCs w:val="20"/>
              </w:rPr>
            </w:pPr>
            <w:r w:rsidRPr="00307753">
              <w:rPr>
                <w:rFonts w:cs="Arial"/>
                <w:b/>
                <w:bCs/>
                <w:color w:val="000000" w:themeColor="text1"/>
                <w:sz w:val="20"/>
                <w:szCs w:val="20"/>
              </w:rPr>
              <w:t>26738</w:t>
            </w:r>
            <w:r w:rsidRPr="00307753">
              <w:rPr>
                <w:rFonts w:cs="Arial"/>
                <w:color w:val="000000" w:themeColor="text1"/>
                <w:sz w:val="20"/>
                <w:szCs w:val="20"/>
                <w:vertAlign w:val="superscript"/>
              </w:rPr>
              <w:t>1.1</w:t>
            </w:r>
          </w:p>
        </w:tc>
        <w:tc>
          <w:tcPr>
            <w:tcW w:w="1066" w:type="dxa"/>
            <w:vAlign w:val="center"/>
          </w:tcPr>
          <w:p w14:paraId="4F537E44" w14:textId="77777777" w:rsidR="00721758" w:rsidRPr="00307753" w:rsidRDefault="00721758" w:rsidP="00440398">
            <w:pPr>
              <w:jc w:val="center"/>
              <w:rPr>
                <w:rFonts w:cs="Arial"/>
                <w:color w:val="000000" w:themeColor="text1"/>
                <w:sz w:val="20"/>
                <w:szCs w:val="20"/>
              </w:rPr>
            </w:pPr>
            <w:r w:rsidRPr="00307753">
              <w:rPr>
                <w:rFonts w:eastAsia="Times New Roman" w:cs="Arial"/>
                <w:color w:val="000000" w:themeColor="text1"/>
                <w:sz w:val="20"/>
                <w:szCs w:val="20"/>
              </w:rPr>
              <w:t>+533</w:t>
            </w:r>
            <w:r w:rsidRPr="00307753">
              <w:rPr>
                <w:rFonts w:cs="Arial"/>
                <w:color w:val="000000" w:themeColor="text1"/>
                <w:sz w:val="20"/>
                <w:szCs w:val="20"/>
                <w:vertAlign w:val="superscript"/>
              </w:rPr>
              <w:t>1.1</w:t>
            </w:r>
          </w:p>
        </w:tc>
      </w:tr>
      <w:tr w:rsidR="00721758" w:rsidRPr="00307753" w14:paraId="621C9A58" w14:textId="77777777" w:rsidTr="00721758">
        <w:trPr>
          <w:trHeight w:val="567"/>
        </w:trPr>
        <w:tc>
          <w:tcPr>
            <w:tcW w:w="1511" w:type="dxa"/>
            <w:vAlign w:val="center"/>
          </w:tcPr>
          <w:p w14:paraId="4F4D969D" w14:textId="77777777" w:rsidR="00721758" w:rsidRPr="00307753" w:rsidRDefault="00721758" w:rsidP="00440398">
            <w:pPr>
              <w:jc w:val="center"/>
              <w:rPr>
                <w:rFonts w:cs="Arial"/>
                <w:color w:val="000000" w:themeColor="text1"/>
                <w:sz w:val="20"/>
                <w:szCs w:val="20"/>
              </w:rPr>
            </w:pPr>
            <w:r w:rsidRPr="00307753">
              <w:rPr>
                <w:rFonts w:eastAsia="Times New Roman" w:cs="Arial"/>
                <w:color w:val="000000" w:themeColor="text1"/>
                <w:sz w:val="20"/>
                <w:szCs w:val="20"/>
              </w:rPr>
              <w:t>RIS Research outputs with files</w:t>
            </w:r>
          </w:p>
        </w:tc>
        <w:tc>
          <w:tcPr>
            <w:tcW w:w="992" w:type="dxa"/>
            <w:vAlign w:val="center"/>
          </w:tcPr>
          <w:p w14:paraId="520657CA" w14:textId="77777777" w:rsidR="00721758" w:rsidRPr="00307753" w:rsidRDefault="00721758" w:rsidP="00440398">
            <w:pPr>
              <w:rPr>
                <w:rFonts w:eastAsia="Times New Roman" w:cs="Arial"/>
                <w:color w:val="000000" w:themeColor="text1"/>
                <w:sz w:val="20"/>
                <w:szCs w:val="20"/>
              </w:rPr>
            </w:pPr>
            <w:r w:rsidRPr="00307753">
              <w:rPr>
                <w:rFonts w:eastAsia="Times New Roman" w:cs="Arial"/>
                <w:color w:val="000000" w:themeColor="text1"/>
                <w:sz w:val="20"/>
                <w:szCs w:val="20"/>
              </w:rPr>
              <w:t>11167</w:t>
            </w:r>
          </w:p>
        </w:tc>
        <w:tc>
          <w:tcPr>
            <w:tcW w:w="992" w:type="dxa"/>
            <w:vAlign w:val="center"/>
          </w:tcPr>
          <w:p w14:paraId="5862C336" w14:textId="77777777" w:rsidR="00721758" w:rsidRPr="00307753" w:rsidRDefault="00721758" w:rsidP="00440398">
            <w:pPr>
              <w:rPr>
                <w:rFonts w:eastAsia="Times New Roman" w:cs="Arial"/>
                <w:color w:val="000000" w:themeColor="text1"/>
                <w:sz w:val="20"/>
                <w:szCs w:val="20"/>
              </w:rPr>
            </w:pPr>
            <w:r w:rsidRPr="00307753">
              <w:rPr>
                <w:rFonts w:eastAsia="Times New Roman" w:cs="Arial"/>
                <w:color w:val="000000" w:themeColor="text1"/>
                <w:sz w:val="20"/>
                <w:szCs w:val="20"/>
              </w:rPr>
              <w:t>11566</w:t>
            </w:r>
          </w:p>
        </w:tc>
        <w:tc>
          <w:tcPr>
            <w:tcW w:w="851" w:type="dxa"/>
            <w:vAlign w:val="center"/>
          </w:tcPr>
          <w:p w14:paraId="5FE7DEDC" w14:textId="77777777" w:rsidR="00721758" w:rsidRPr="00307753" w:rsidRDefault="00721758" w:rsidP="00440398">
            <w:pPr>
              <w:rPr>
                <w:rFonts w:eastAsia="Times New Roman" w:cs="Arial"/>
                <w:color w:val="000000" w:themeColor="text1"/>
                <w:sz w:val="20"/>
                <w:szCs w:val="20"/>
              </w:rPr>
            </w:pPr>
            <w:r w:rsidRPr="00307753">
              <w:rPr>
                <w:rFonts w:eastAsia="Times New Roman" w:cs="Arial"/>
                <w:color w:val="000000" w:themeColor="text1"/>
                <w:sz w:val="20"/>
                <w:szCs w:val="20"/>
              </w:rPr>
              <w:t>12067</w:t>
            </w:r>
          </w:p>
        </w:tc>
        <w:tc>
          <w:tcPr>
            <w:tcW w:w="992" w:type="dxa"/>
            <w:vAlign w:val="center"/>
          </w:tcPr>
          <w:p w14:paraId="5D5D7B81" w14:textId="77777777" w:rsidR="00721758" w:rsidRPr="00307753" w:rsidRDefault="00721758" w:rsidP="00440398">
            <w:pPr>
              <w:rPr>
                <w:rFonts w:eastAsia="Times New Roman" w:cs="Arial"/>
                <w:color w:val="000000" w:themeColor="text1"/>
                <w:sz w:val="20"/>
                <w:szCs w:val="20"/>
              </w:rPr>
            </w:pPr>
            <w:r w:rsidRPr="00307753">
              <w:rPr>
                <w:rFonts w:eastAsia="Times New Roman" w:cs="Arial"/>
                <w:color w:val="000000" w:themeColor="text1"/>
                <w:sz w:val="20"/>
                <w:szCs w:val="20"/>
              </w:rPr>
              <w:t>12329</w:t>
            </w:r>
          </w:p>
        </w:tc>
        <w:tc>
          <w:tcPr>
            <w:tcW w:w="992" w:type="dxa"/>
            <w:vAlign w:val="center"/>
          </w:tcPr>
          <w:p w14:paraId="6657FF0B" w14:textId="77777777" w:rsidR="00721758" w:rsidRPr="00307753" w:rsidRDefault="00721758" w:rsidP="00440398">
            <w:pPr>
              <w:rPr>
                <w:rFonts w:eastAsia="Times New Roman" w:cs="Arial"/>
                <w:color w:val="000000" w:themeColor="text1"/>
                <w:sz w:val="20"/>
                <w:szCs w:val="20"/>
              </w:rPr>
            </w:pPr>
            <w:r w:rsidRPr="00307753">
              <w:rPr>
                <w:rFonts w:eastAsia="Times New Roman" w:cs="Arial"/>
                <w:color w:val="000000" w:themeColor="text1"/>
                <w:sz w:val="20"/>
                <w:szCs w:val="20"/>
              </w:rPr>
              <w:t>12676</w:t>
            </w:r>
          </w:p>
        </w:tc>
        <w:tc>
          <w:tcPr>
            <w:tcW w:w="993" w:type="dxa"/>
            <w:vAlign w:val="center"/>
          </w:tcPr>
          <w:p w14:paraId="58E03A83" w14:textId="77777777" w:rsidR="00721758" w:rsidRPr="00307753" w:rsidRDefault="00721758" w:rsidP="00440398">
            <w:pPr>
              <w:jc w:val="center"/>
              <w:rPr>
                <w:rFonts w:eastAsia="Times New Roman" w:cs="Arial"/>
                <w:color w:val="000000" w:themeColor="text1"/>
                <w:sz w:val="20"/>
                <w:szCs w:val="20"/>
              </w:rPr>
            </w:pPr>
            <w:r w:rsidRPr="00307753">
              <w:rPr>
                <w:rFonts w:eastAsia="Times New Roman" w:cs="Arial"/>
                <w:b/>
                <w:bCs/>
                <w:color w:val="000000" w:themeColor="text1"/>
                <w:sz w:val="20"/>
                <w:szCs w:val="20"/>
              </w:rPr>
              <w:t>12993</w:t>
            </w:r>
          </w:p>
        </w:tc>
        <w:tc>
          <w:tcPr>
            <w:tcW w:w="1066" w:type="dxa"/>
            <w:vAlign w:val="center"/>
          </w:tcPr>
          <w:p w14:paraId="2D31948C" w14:textId="77777777" w:rsidR="00721758" w:rsidRPr="00307753" w:rsidRDefault="00721758" w:rsidP="00440398">
            <w:pPr>
              <w:jc w:val="center"/>
              <w:rPr>
                <w:rFonts w:cs="Arial"/>
                <w:color w:val="000000" w:themeColor="text1"/>
                <w:sz w:val="20"/>
                <w:szCs w:val="20"/>
              </w:rPr>
            </w:pPr>
            <w:r w:rsidRPr="00307753">
              <w:rPr>
                <w:rFonts w:eastAsia="Times New Roman" w:cs="Arial"/>
                <w:color w:val="000000" w:themeColor="text1"/>
                <w:sz w:val="20"/>
                <w:szCs w:val="20"/>
              </w:rPr>
              <w:t>+317</w:t>
            </w:r>
          </w:p>
        </w:tc>
      </w:tr>
      <w:tr w:rsidR="00721758" w:rsidRPr="00307753" w14:paraId="08112851" w14:textId="77777777" w:rsidTr="00721758">
        <w:trPr>
          <w:trHeight w:val="567"/>
        </w:trPr>
        <w:tc>
          <w:tcPr>
            <w:tcW w:w="1511" w:type="dxa"/>
            <w:vAlign w:val="center"/>
          </w:tcPr>
          <w:p w14:paraId="7E5A19DA" w14:textId="77777777" w:rsidR="00721758" w:rsidRPr="00307753" w:rsidRDefault="00721758" w:rsidP="00440398">
            <w:pPr>
              <w:jc w:val="center"/>
              <w:rPr>
                <w:rFonts w:cs="Arial"/>
                <w:color w:val="000000" w:themeColor="text1"/>
                <w:sz w:val="20"/>
                <w:szCs w:val="20"/>
                <w:vertAlign w:val="superscript"/>
              </w:rPr>
            </w:pPr>
            <w:r w:rsidRPr="00307753">
              <w:rPr>
                <w:rFonts w:cs="Arial"/>
                <w:color w:val="000000" w:themeColor="text1"/>
                <w:sz w:val="20"/>
                <w:szCs w:val="20"/>
              </w:rPr>
              <w:t>Number of unlocked user accounts</w:t>
            </w:r>
            <w:r w:rsidRPr="00307753">
              <w:rPr>
                <w:rFonts w:eastAsia="Times New Roman" w:cs="Arial"/>
                <w:color w:val="000000" w:themeColor="text1"/>
                <w:sz w:val="20"/>
                <w:szCs w:val="20"/>
              </w:rPr>
              <w:t xml:space="preserve"> </w:t>
            </w:r>
            <w:r w:rsidRPr="00307753">
              <w:rPr>
                <w:rFonts w:cs="Arial"/>
                <w:color w:val="000000" w:themeColor="text1"/>
                <w:sz w:val="20"/>
                <w:szCs w:val="20"/>
                <w:vertAlign w:val="superscript"/>
              </w:rPr>
              <w:t>1.2</w:t>
            </w:r>
          </w:p>
        </w:tc>
        <w:tc>
          <w:tcPr>
            <w:tcW w:w="992" w:type="dxa"/>
            <w:vAlign w:val="center"/>
          </w:tcPr>
          <w:p w14:paraId="201FF3A2" w14:textId="77777777" w:rsidR="00721758" w:rsidRPr="00307753" w:rsidRDefault="00721758" w:rsidP="00440398">
            <w:pPr>
              <w:jc w:val="center"/>
              <w:rPr>
                <w:rFonts w:cs="Arial"/>
                <w:color w:val="000000" w:themeColor="text1"/>
                <w:sz w:val="20"/>
                <w:szCs w:val="20"/>
              </w:rPr>
            </w:pPr>
            <w:r w:rsidRPr="00307753">
              <w:rPr>
                <w:rFonts w:cs="Arial"/>
                <w:color w:val="000000" w:themeColor="text1"/>
                <w:sz w:val="20"/>
                <w:szCs w:val="20"/>
              </w:rPr>
              <w:t>876</w:t>
            </w:r>
          </w:p>
        </w:tc>
        <w:tc>
          <w:tcPr>
            <w:tcW w:w="992" w:type="dxa"/>
            <w:vAlign w:val="center"/>
          </w:tcPr>
          <w:p w14:paraId="04D25FD4" w14:textId="77777777" w:rsidR="00721758" w:rsidRPr="00307753" w:rsidRDefault="00721758" w:rsidP="00440398">
            <w:pPr>
              <w:jc w:val="center"/>
              <w:rPr>
                <w:rFonts w:cs="Arial"/>
                <w:color w:val="000000" w:themeColor="text1"/>
                <w:sz w:val="20"/>
                <w:szCs w:val="20"/>
              </w:rPr>
            </w:pPr>
            <w:r w:rsidRPr="00307753">
              <w:rPr>
                <w:rFonts w:cs="Arial"/>
                <w:color w:val="000000" w:themeColor="text1"/>
                <w:sz w:val="20"/>
                <w:szCs w:val="20"/>
              </w:rPr>
              <w:t>784</w:t>
            </w:r>
          </w:p>
        </w:tc>
        <w:tc>
          <w:tcPr>
            <w:tcW w:w="851" w:type="dxa"/>
            <w:vAlign w:val="center"/>
          </w:tcPr>
          <w:p w14:paraId="15B2F08E" w14:textId="77777777" w:rsidR="00721758" w:rsidRPr="00307753" w:rsidRDefault="00721758" w:rsidP="00440398">
            <w:pPr>
              <w:jc w:val="center"/>
              <w:rPr>
                <w:rFonts w:cs="Arial"/>
                <w:color w:val="000000" w:themeColor="text1"/>
                <w:sz w:val="20"/>
                <w:szCs w:val="20"/>
              </w:rPr>
            </w:pPr>
            <w:r w:rsidRPr="00307753">
              <w:rPr>
                <w:rFonts w:cs="Arial"/>
                <w:color w:val="000000" w:themeColor="text1"/>
                <w:sz w:val="20"/>
                <w:szCs w:val="20"/>
              </w:rPr>
              <w:t>787</w:t>
            </w:r>
          </w:p>
        </w:tc>
        <w:tc>
          <w:tcPr>
            <w:tcW w:w="992" w:type="dxa"/>
            <w:vAlign w:val="center"/>
          </w:tcPr>
          <w:p w14:paraId="0CC33555" w14:textId="77777777" w:rsidR="00721758" w:rsidRPr="00307753" w:rsidRDefault="00721758" w:rsidP="00440398">
            <w:pPr>
              <w:jc w:val="center"/>
              <w:rPr>
                <w:rFonts w:cs="Arial"/>
                <w:color w:val="000000" w:themeColor="text1"/>
                <w:sz w:val="20"/>
                <w:szCs w:val="20"/>
              </w:rPr>
            </w:pPr>
            <w:r w:rsidRPr="00307753">
              <w:rPr>
                <w:rFonts w:cs="Arial"/>
                <w:color w:val="000000" w:themeColor="text1"/>
                <w:sz w:val="20"/>
                <w:szCs w:val="20"/>
              </w:rPr>
              <w:t>763</w:t>
            </w:r>
          </w:p>
        </w:tc>
        <w:tc>
          <w:tcPr>
            <w:tcW w:w="992" w:type="dxa"/>
            <w:vAlign w:val="center"/>
          </w:tcPr>
          <w:p w14:paraId="37E1A4C4" w14:textId="77777777" w:rsidR="00721758" w:rsidRPr="00307753" w:rsidRDefault="00721758" w:rsidP="00440398">
            <w:pPr>
              <w:jc w:val="center"/>
              <w:rPr>
                <w:rFonts w:cs="Arial"/>
                <w:color w:val="000000" w:themeColor="text1"/>
                <w:sz w:val="20"/>
                <w:szCs w:val="20"/>
              </w:rPr>
            </w:pPr>
            <w:r w:rsidRPr="00307753">
              <w:rPr>
                <w:rFonts w:cs="Arial"/>
                <w:color w:val="000000" w:themeColor="text1"/>
                <w:sz w:val="20"/>
                <w:szCs w:val="20"/>
              </w:rPr>
              <w:t>778</w:t>
            </w:r>
          </w:p>
        </w:tc>
        <w:tc>
          <w:tcPr>
            <w:tcW w:w="993" w:type="dxa"/>
            <w:vAlign w:val="center"/>
          </w:tcPr>
          <w:p w14:paraId="667AD775" w14:textId="77777777" w:rsidR="00721758" w:rsidRPr="00307753" w:rsidRDefault="00721758" w:rsidP="00440398">
            <w:pPr>
              <w:jc w:val="center"/>
              <w:rPr>
                <w:rFonts w:cs="Arial"/>
                <w:color w:val="000000" w:themeColor="text1"/>
                <w:sz w:val="20"/>
                <w:szCs w:val="20"/>
              </w:rPr>
            </w:pPr>
            <w:r w:rsidRPr="00307753">
              <w:rPr>
                <w:rFonts w:cs="Arial"/>
                <w:b/>
                <w:bCs/>
                <w:color w:val="000000" w:themeColor="text1"/>
                <w:sz w:val="20"/>
                <w:szCs w:val="20"/>
              </w:rPr>
              <w:t>755</w:t>
            </w:r>
          </w:p>
        </w:tc>
        <w:tc>
          <w:tcPr>
            <w:tcW w:w="1066" w:type="dxa"/>
            <w:vAlign w:val="center"/>
          </w:tcPr>
          <w:p w14:paraId="11A87EB2" w14:textId="77777777" w:rsidR="00721758" w:rsidRPr="00307753" w:rsidRDefault="00721758" w:rsidP="00440398">
            <w:pPr>
              <w:jc w:val="center"/>
              <w:rPr>
                <w:rFonts w:cs="Arial"/>
                <w:color w:val="000000" w:themeColor="text1"/>
                <w:sz w:val="20"/>
                <w:szCs w:val="20"/>
              </w:rPr>
            </w:pPr>
            <w:r w:rsidRPr="00307753">
              <w:rPr>
                <w:rFonts w:cs="Arial"/>
                <w:color w:val="000000" w:themeColor="text1"/>
                <w:sz w:val="20"/>
                <w:szCs w:val="20"/>
              </w:rPr>
              <w:t>-23</w:t>
            </w:r>
            <w:r w:rsidRPr="00307753">
              <w:rPr>
                <w:rFonts w:cs="Arial"/>
                <w:color w:val="000000" w:themeColor="text1"/>
                <w:sz w:val="20"/>
                <w:szCs w:val="20"/>
                <w:vertAlign w:val="superscript"/>
              </w:rPr>
              <w:t>1.3</w:t>
            </w:r>
          </w:p>
        </w:tc>
      </w:tr>
      <w:tr w:rsidR="00721758" w:rsidRPr="00307753" w14:paraId="4025F0EF" w14:textId="77777777" w:rsidTr="00721758">
        <w:trPr>
          <w:trHeight w:val="567"/>
        </w:trPr>
        <w:tc>
          <w:tcPr>
            <w:tcW w:w="1511" w:type="dxa"/>
            <w:vAlign w:val="center"/>
          </w:tcPr>
          <w:p w14:paraId="15446101" w14:textId="77777777" w:rsidR="00721758" w:rsidRPr="00307753" w:rsidRDefault="00721758" w:rsidP="00440398">
            <w:pPr>
              <w:jc w:val="center"/>
              <w:rPr>
                <w:rFonts w:eastAsia="Times New Roman" w:cs="Arial"/>
                <w:color w:val="000000" w:themeColor="text1"/>
                <w:sz w:val="20"/>
                <w:szCs w:val="20"/>
              </w:rPr>
            </w:pPr>
            <w:r w:rsidRPr="00307753">
              <w:rPr>
                <w:rFonts w:eastAsia="Times New Roman" w:cs="Arial"/>
                <w:color w:val="000000" w:themeColor="text1"/>
                <w:sz w:val="20"/>
                <w:szCs w:val="20"/>
              </w:rPr>
              <w:t>Public research profile</w:t>
            </w:r>
          </w:p>
        </w:tc>
        <w:tc>
          <w:tcPr>
            <w:tcW w:w="992" w:type="dxa"/>
            <w:vAlign w:val="center"/>
          </w:tcPr>
          <w:p w14:paraId="63A0302F" w14:textId="77777777" w:rsidR="00721758" w:rsidRPr="00307753" w:rsidRDefault="00721758" w:rsidP="00440398">
            <w:pPr>
              <w:jc w:val="center"/>
              <w:rPr>
                <w:rFonts w:cs="Arial"/>
                <w:color w:val="000000" w:themeColor="text1"/>
                <w:sz w:val="20"/>
                <w:szCs w:val="20"/>
              </w:rPr>
            </w:pPr>
            <w:r w:rsidRPr="00307753">
              <w:rPr>
                <w:rFonts w:cs="Arial"/>
                <w:color w:val="000000" w:themeColor="text1"/>
                <w:sz w:val="20"/>
                <w:szCs w:val="20"/>
              </w:rPr>
              <w:t>684</w:t>
            </w:r>
          </w:p>
        </w:tc>
        <w:tc>
          <w:tcPr>
            <w:tcW w:w="992" w:type="dxa"/>
            <w:vAlign w:val="center"/>
          </w:tcPr>
          <w:p w14:paraId="136553DE" w14:textId="77777777" w:rsidR="00721758" w:rsidRPr="00307753" w:rsidRDefault="00721758" w:rsidP="00440398">
            <w:pPr>
              <w:jc w:val="center"/>
              <w:rPr>
                <w:rFonts w:cs="Arial"/>
                <w:color w:val="000000" w:themeColor="text1"/>
                <w:sz w:val="20"/>
                <w:szCs w:val="20"/>
              </w:rPr>
            </w:pPr>
            <w:r w:rsidRPr="00307753">
              <w:rPr>
                <w:rFonts w:cs="Arial"/>
                <w:color w:val="000000" w:themeColor="text1"/>
                <w:sz w:val="20"/>
                <w:szCs w:val="20"/>
              </w:rPr>
              <w:t>660</w:t>
            </w:r>
          </w:p>
        </w:tc>
        <w:tc>
          <w:tcPr>
            <w:tcW w:w="851" w:type="dxa"/>
            <w:vAlign w:val="center"/>
          </w:tcPr>
          <w:p w14:paraId="314F287E" w14:textId="77777777" w:rsidR="00721758" w:rsidRPr="00307753" w:rsidRDefault="00721758" w:rsidP="00440398">
            <w:pPr>
              <w:jc w:val="center"/>
              <w:rPr>
                <w:rFonts w:cs="Arial"/>
                <w:color w:val="000000" w:themeColor="text1"/>
                <w:sz w:val="20"/>
                <w:szCs w:val="20"/>
              </w:rPr>
            </w:pPr>
            <w:r w:rsidRPr="00307753">
              <w:rPr>
                <w:rFonts w:cs="Arial"/>
                <w:color w:val="000000" w:themeColor="text1"/>
                <w:sz w:val="20"/>
                <w:szCs w:val="20"/>
              </w:rPr>
              <w:t>667</w:t>
            </w:r>
          </w:p>
        </w:tc>
        <w:tc>
          <w:tcPr>
            <w:tcW w:w="992" w:type="dxa"/>
            <w:vAlign w:val="center"/>
          </w:tcPr>
          <w:p w14:paraId="44D13022" w14:textId="77777777" w:rsidR="00721758" w:rsidRPr="00307753" w:rsidRDefault="00721758" w:rsidP="00440398">
            <w:pPr>
              <w:jc w:val="center"/>
              <w:rPr>
                <w:rFonts w:cs="Arial"/>
                <w:color w:val="000000" w:themeColor="text1"/>
                <w:sz w:val="20"/>
                <w:szCs w:val="20"/>
              </w:rPr>
            </w:pPr>
            <w:r w:rsidRPr="00307753">
              <w:rPr>
                <w:rFonts w:cs="Arial"/>
                <w:color w:val="000000" w:themeColor="text1"/>
                <w:sz w:val="20"/>
                <w:szCs w:val="20"/>
              </w:rPr>
              <w:t>675</w:t>
            </w:r>
          </w:p>
        </w:tc>
        <w:tc>
          <w:tcPr>
            <w:tcW w:w="992" w:type="dxa"/>
            <w:vAlign w:val="center"/>
          </w:tcPr>
          <w:p w14:paraId="28305155" w14:textId="77777777" w:rsidR="00721758" w:rsidRPr="00307753" w:rsidRDefault="00721758" w:rsidP="00440398">
            <w:pPr>
              <w:jc w:val="center"/>
              <w:rPr>
                <w:rFonts w:cs="Arial"/>
                <w:color w:val="000000" w:themeColor="text1"/>
                <w:sz w:val="20"/>
                <w:szCs w:val="20"/>
              </w:rPr>
            </w:pPr>
            <w:r w:rsidRPr="00307753">
              <w:rPr>
                <w:rFonts w:cs="Arial"/>
                <w:color w:val="000000" w:themeColor="text1"/>
                <w:sz w:val="20"/>
                <w:szCs w:val="20"/>
              </w:rPr>
              <w:t>686</w:t>
            </w:r>
          </w:p>
        </w:tc>
        <w:tc>
          <w:tcPr>
            <w:tcW w:w="993" w:type="dxa"/>
            <w:vAlign w:val="center"/>
          </w:tcPr>
          <w:p w14:paraId="60AD0092" w14:textId="77777777" w:rsidR="00721758" w:rsidRPr="00307753" w:rsidRDefault="00721758" w:rsidP="00440398">
            <w:pPr>
              <w:jc w:val="center"/>
              <w:rPr>
                <w:rFonts w:cs="Arial"/>
                <w:color w:val="000000" w:themeColor="text1"/>
                <w:sz w:val="20"/>
                <w:szCs w:val="20"/>
              </w:rPr>
            </w:pPr>
            <w:r w:rsidRPr="00307753">
              <w:rPr>
                <w:rFonts w:cs="Arial"/>
                <w:b/>
                <w:bCs/>
                <w:color w:val="000000" w:themeColor="text1"/>
                <w:sz w:val="20"/>
                <w:szCs w:val="20"/>
              </w:rPr>
              <w:t>682</w:t>
            </w:r>
          </w:p>
        </w:tc>
        <w:tc>
          <w:tcPr>
            <w:tcW w:w="1066" w:type="dxa"/>
            <w:vAlign w:val="center"/>
          </w:tcPr>
          <w:p w14:paraId="67FBC0F2" w14:textId="77777777" w:rsidR="00721758" w:rsidRPr="00307753" w:rsidRDefault="00721758" w:rsidP="00440398">
            <w:pPr>
              <w:jc w:val="center"/>
              <w:rPr>
                <w:rFonts w:cs="Arial"/>
                <w:color w:val="000000" w:themeColor="text1"/>
                <w:sz w:val="20"/>
                <w:szCs w:val="20"/>
              </w:rPr>
            </w:pPr>
            <w:r w:rsidRPr="00307753">
              <w:rPr>
                <w:rFonts w:cs="Arial"/>
                <w:color w:val="000000" w:themeColor="text1"/>
                <w:sz w:val="20"/>
                <w:szCs w:val="20"/>
              </w:rPr>
              <w:t>-4</w:t>
            </w:r>
            <w:r w:rsidRPr="00307753">
              <w:rPr>
                <w:rFonts w:cs="Arial"/>
                <w:color w:val="000000" w:themeColor="text1"/>
                <w:sz w:val="20"/>
                <w:szCs w:val="20"/>
                <w:vertAlign w:val="superscript"/>
              </w:rPr>
              <w:t>1.3</w:t>
            </w:r>
          </w:p>
        </w:tc>
      </w:tr>
      <w:tr w:rsidR="00721758" w:rsidRPr="00307753" w14:paraId="729A7391" w14:textId="77777777" w:rsidTr="00721758">
        <w:trPr>
          <w:trHeight w:val="567"/>
        </w:trPr>
        <w:tc>
          <w:tcPr>
            <w:tcW w:w="1511" w:type="dxa"/>
            <w:vAlign w:val="center"/>
          </w:tcPr>
          <w:p w14:paraId="0A98E5AE" w14:textId="77777777" w:rsidR="00721758" w:rsidRPr="00307753" w:rsidRDefault="00721758" w:rsidP="00440398">
            <w:pPr>
              <w:jc w:val="center"/>
              <w:rPr>
                <w:rFonts w:eastAsia="Times New Roman" w:cs="Arial"/>
                <w:color w:val="000000" w:themeColor="text1"/>
                <w:sz w:val="20"/>
                <w:szCs w:val="20"/>
              </w:rPr>
            </w:pPr>
            <w:r w:rsidRPr="00307753">
              <w:rPr>
                <w:rFonts w:eastAsia="Times New Roman" w:cs="Arial"/>
                <w:color w:val="000000" w:themeColor="text1"/>
                <w:sz w:val="20"/>
                <w:szCs w:val="20"/>
              </w:rPr>
              <w:t>Research Profile items</w:t>
            </w:r>
          </w:p>
        </w:tc>
        <w:tc>
          <w:tcPr>
            <w:tcW w:w="992" w:type="dxa"/>
            <w:vAlign w:val="center"/>
          </w:tcPr>
          <w:p w14:paraId="4A8C8C47" w14:textId="77777777" w:rsidR="00721758" w:rsidRPr="00307753" w:rsidRDefault="00721758" w:rsidP="00440398">
            <w:pPr>
              <w:jc w:val="center"/>
              <w:rPr>
                <w:rFonts w:cs="Arial"/>
                <w:color w:val="000000" w:themeColor="text1"/>
                <w:sz w:val="20"/>
                <w:szCs w:val="20"/>
              </w:rPr>
            </w:pPr>
            <w:r w:rsidRPr="00307753">
              <w:rPr>
                <w:rFonts w:cs="Arial"/>
                <w:color w:val="000000" w:themeColor="text1"/>
                <w:sz w:val="20"/>
                <w:szCs w:val="20"/>
              </w:rPr>
              <w:t>23397</w:t>
            </w:r>
          </w:p>
        </w:tc>
        <w:tc>
          <w:tcPr>
            <w:tcW w:w="992" w:type="dxa"/>
            <w:vAlign w:val="center"/>
          </w:tcPr>
          <w:p w14:paraId="0CEE5EBB" w14:textId="77777777" w:rsidR="00721758" w:rsidRPr="00307753" w:rsidRDefault="00721758" w:rsidP="00440398">
            <w:pPr>
              <w:jc w:val="center"/>
              <w:rPr>
                <w:rFonts w:cs="Arial"/>
                <w:color w:val="000000" w:themeColor="text1"/>
                <w:sz w:val="20"/>
                <w:szCs w:val="20"/>
              </w:rPr>
            </w:pPr>
            <w:r w:rsidRPr="00307753">
              <w:rPr>
                <w:rFonts w:cs="Arial"/>
                <w:color w:val="000000" w:themeColor="text1"/>
                <w:sz w:val="20"/>
                <w:szCs w:val="20"/>
              </w:rPr>
              <w:t>23928</w:t>
            </w:r>
          </w:p>
        </w:tc>
        <w:tc>
          <w:tcPr>
            <w:tcW w:w="851" w:type="dxa"/>
            <w:vAlign w:val="center"/>
          </w:tcPr>
          <w:p w14:paraId="2FB4E4BB" w14:textId="77777777" w:rsidR="00721758" w:rsidRPr="00307753" w:rsidRDefault="00721758" w:rsidP="00440398">
            <w:pPr>
              <w:jc w:val="center"/>
              <w:rPr>
                <w:rFonts w:cs="Arial"/>
                <w:color w:val="000000" w:themeColor="text1"/>
                <w:sz w:val="20"/>
                <w:szCs w:val="20"/>
              </w:rPr>
            </w:pPr>
            <w:r w:rsidRPr="00307753">
              <w:rPr>
                <w:rFonts w:cs="Arial"/>
                <w:color w:val="000000" w:themeColor="text1"/>
                <w:sz w:val="20"/>
                <w:szCs w:val="20"/>
              </w:rPr>
              <w:t>24976</w:t>
            </w:r>
          </w:p>
        </w:tc>
        <w:tc>
          <w:tcPr>
            <w:tcW w:w="992" w:type="dxa"/>
            <w:vAlign w:val="center"/>
          </w:tcPr>
          <w:p w14:paraId="49B7A7A2" w14:textId="77777777" w:rsidR="00721758" w:rsidRPr="00307753" w:rsidRDefault="00721758" w:rsidP="00440398">
            <w:pPr>
              <w:jc w:val="center"/>
              <w:rPr>
                <w:rFonts w:cs="Arial"/>
                <w:color w:val="000000" w:themeColor="text1"/>
                <w:sz w:val="20"/>
                <w:szCs w:val="20"/>
              </w:rPr>
            </w:pPr>
            <w:r w:rsidRPr="00307753">
              <w:rPr>
                <w:rFonts w:cs="Arial"/>
                <w:color w:val="000000" w:themeColor="text1"/>
                <w:sz w:val="20"/>
                <w:szCs w:val="20"/>
              </w:rPr>
              <w:t>25259</w:t>
            </w:r>
          </w:p>
        </w:tc>
        <w:tc>
          <w:tcPr>
            <w:tcW w:w="992" w:type="dxa"/>
            <w:vAlign w:val="center"/>
          </w:tcPr>
          <w:p w14:paraId="25A6D98E" w14:textId="77777777" w:rsidR="00721758" w:rsidRPr="00307753" w:rsidRDefault="00721758" w:rsidP="00440398">
            <w:pPr>
              <w:jc w:val="center"/>
              <w:rPr>
                <w:rFonts w:cs="Arial"/>
                <w:color w:val="000000" w:themeColor="text1"/>
                <w:sz w:val="20"/>
                <w:szCs w:val="20"/>
              </w:rPr>
            </w:pPr>
            <w:r w:rsidRPr="00307753">
              <w:rPr>
                <w:rFonts w:cs="Arial"/>
                <w:color w:val="000000" w:themeColor="text1"/>
                <w:sz w:val="20"/>
                <w:szCs w:val="20"/>
              </w:rPr>
              <w:t>25911</w:t>
            </w:r>
          </w:p>
        </w:tc>
        <w:tc>
          <w:tcPr>
            <w:tcW w:w="993" w:type="dxa"/>
            <w:vAlign w:val="center"/>
          </w:tcPr>
          <w:p w14:paraId="0CF4DF0D" w14:textId="77777777" w:rsidR="00721758" w:rsidRPr="00307753" w:rsidRDefault="00721758" w:rsidP="00440398">
            <w:pPr>
              <w:jc w:val="center"/>
              <w:rPr>
                <w:rFonts w:cs="Arial"/>
                <w:color w:val="000000" w:themeColor="text1"/>
                <w:sz w:val="20"/>
                <w:szCs w:val="20"/>
              </w:rPr>
            </w:pPr>
            <w:r w:rsidRPr="00307753">
              <w:rPr>
                <w:rFonts w:cs="Arial"/>
                <w:b/>
                <w:bCs/>
                <w:color w:val="000000" w:themeColor="text1"/>
                <w:sz w:val="20"/>
                <w:szCs w:val="20"/>
              </w:rPr>
              <w:t>26454</w:t>
            </w:r>
          </w:p>
        </w:tc>
        <w:tc>
          <w:tcPr>
            <w:tcW w:w="1066" w:type="dxa"/>
            <w:vAlign w:val="center"/>
          </w:tcPr>
          <w:p w14:paraId="291DAD9F" w14:textId="77777777" w:rsidR="00721758" w:rsidRPr="00307753" w:rsidRDefault="00721758" w:rsidP="00440398">
            <w:pPr>
              <w:jc w:val="center"/>
              <w:rPr>
                <w:rFonts w:cs="Arial"/>
                <w:color w:val="000000" w:themeColor="text1"/>
                <w:sz w:val="20"/>
                <w:szCs w:val="20"/>
              </w:rPr>
            </w:pPr>
            <w:r w:rsidRPr="00307753">
              <w:rPr>
                <w:rFonts w:cs="Arial"/>
                <w:color w:val="000000" w:themeColor="text1"/>
                <w:sz w:val="20"/>
                <w:szCs w:val="20"/>
              </w:rPr>
              <w:t>+543</w:t>
            </w:r>
          </w:p>
        </w:tc>
      </w:tr>
      <w:tr w:rsidR="00721758" w:rsidRPr="00307753" w14:paraId="1E72BE9F" w14:textId="77777777" w:rsidTr="00721758">
        <w:trPr>
          <w:trHeight w:val="567"/>
        </w:trPr>
        <w:tc>
          <w:tcPr>
            <w:tcW w:w="1511" w:type="dxa"/>
            <w:vAlign w:val="center"/>
          </w:tcPr>
          <w:p w14:paraId="2A507478" w14:textId="77777777" w:rsidR="00721758" w:rsidRPr="00307753" w:rsidRDefault="00721758" w:rsidP="00440398">
            <w:pPr>
              <w:jc w:val="center"/>
              <w:rPr>
                <w:rFonts w:eastAsia="Times New Roman" w:cs="Arial"/>
                <w:color w:val="000000" w:themeColor="text1"/>
                <w:sz w:val="20"/>
                <w:szCs w:val="20"/>
              </w:rPr>
            </w:pPr>
            <w:r w:rsidRPr="00307753">
              <w:rPr>
                <w:rFonts w:eastAsia="Times New Roman" w:cs="Arial"/>
                <w:color w:val="000000" w:themeColor="text1"/>
                <w:sz w:val="20"/>
                <w:szCs w:val="20"/>
              </w:rPr>
              <w:t>UHRA total item count</w:t>
            </w:r>
          </w:p>
        </w:tc>
        <w:tc>
          <w:tcPr>
            <w:tcW w:w="992" w:type="dxa"/>
            <w:vAlign w:val="center"/>
          </w:tcPr>
          <w:p w14:paraId="2F90991B" w14:textId="77777777" w:rsidR="00721758" w:rsidRPr="00307753" w:rsidRDefault="00721758" w:rsidP="00440398">
            <w:pPr>
              <w:rPr>
                <w:rFonts w:cs="Arial"/>
                <w:color w:val="000000" w:themeColor="text1"/>
                <w:sz w:val="20"/>
                <w:szCs w:val="20"/>
              </w:rPr>
            </w:pPr>
            <w:r w:rsidRPr="00307753">
              <w:rPr>
                <w:rFonts w:cs="Arial"/>
                <w:color w:val="000000" w:themeColor="text1"/>
                <w:sz w:val="20"/>
                <w:szCs w:val="20"/>
              </w:rPr>
              <w:t>19192</w:t>
            </w:r>
          </w:p>
        </w:tc>
        <w:tc>
          <w:tcPr>
            <w:tcW w:w="992" w:type="dxa"/>
            <w:vAlign w:val="center"/>
          </w:tcPr>
          <w:p w14:paraId="594E78D9" w14:textId="77777777" w:rsidR="00721758" w:rsidRPr="00307753" w:rsidRDefault="00721758" w:rsidP="00440398">
            <w:pPr>
              <w:rPr>
                <w:rFonts w:cs="Arial"/>
                <w:color w:val="000000" w:themeColor="text1"/>
                <w:sz w:val="20"/>
                <w:szCs w:val="20"/>
              </w:rPr>
            </w:pPr>
            <w:r w:rsidRPr="00307753">
              <w:rPr>
                <w:rFonts w:cs="Arial"/>
                <w:color w:val="000000" w:themeColor="text1"/>
                <w:sz w:val="20"/>
                <w:szCs w:val="20"/>
              </w:rPr>
              <w:t>19695</w:t>
            </w:r>
          </w:p>
        </w:tc>
        <w:tc>
          <w:tcPr>
            <w:tcW w:w="851" w:type="dxa"/>
            <w:vAlign w:val="center"/>
          </w:tcPr>
          <w:p w14:paraId="327F0715" w14:textId="77777777" w:rsidR="00721758" w:rsidRPr="00307753" w:rsidRDefault="00721758" w:rsidP="00440398">
            <w:pPr>
              <w:rPr>
                <w:rFonts w:cs="Arial"/>
                <w:color w:val="000000" w:themeColor="text1"/>
                <w:sz w:val="20"/>
                <w:szCs w:val="20"/>
              </w:rPr>
            </w:pPr>
            <w:r w:rsidRPr="00307753">
              <w:rPr>
                <w:rFonts w:cs="Arial"/>
                <w:color w:val="000000" w:themeColor="text1"/>
                <w:sz w:val="20"/>
                <w:szCs w:val="20"/>
              </w:rPr>
              <w:t>20046</w:t>
            </w:r>
          </w:p>
        </w:tc>
        <w:tc>
          <w:tcPr>
            <w:tcW w:w="992" w:type="dxa"/>
            <w:vAlign w:val="center"/>
          </w:tcPr>
          <w:p w14:paraId="4E3F79D5" w14:textId="77777777" w:rsidR="00721758" w:rsidRPr="00307753" w:rsidRDefault="00721758" w:rsidP="00440398">
            <w:pPr>
              <w:rPr>
                <w:rFonts w:cs="Arial"/>
                <w:color w:val="000000" w:themeColor="text1"/>
                <w:sz w:val="20"/>
                <w:szCs w:val="20"/>
              </w:rPr>
            </w:pPr>
            <w:r w:rsidRPr="00307753">
              <w:rPr>
                <w:rFonts w:cs="Arial"/>
                <w:color w:val="000000" w:themeColor="text1"/>
                <w:sz w:val="20"/>
                <w:szCs w:val="20"/>
              </w:rPr>
              <w:t>20300</w:t>
            </w:r>
          </w:p>
        </w:tc>
        <w:tc>
          <w:tcPr>
            <w:tcW w:w="992" w:type="dxa"/>
            <w:vAlign w:val="center"/>
          </w:tcPr>
          <w:p w14:paraId="7431CBF9" w14:textId="77777777" w:rsidR="00721758" w:rsidRPr="00307753" w:rsidRDefault="00721758" w:rsidP="00440398">
            <w:pPr>
              <w:rPr>
                <w:rFonts w:cs="Arial"/>
                <w:color w:val="000000" w:themeColor="text1"/>
                <w:sz w:val="20"/>
                <w:szCs w:val="20"/>
              </w:rPr>
            </w:pPr>
            <w:r w:rsidRPr="00307753">
              <w:rPr>
                <w:rFonts w:cs="Arial"/>
                <w:color w:val="000000" w:themeColor="text1"/>
                <w:sz w:val="20"/>
                <w:szCs w:val="20"/>
              </w:rPr>
              <w:t>20630</w:t>
            </w:r>
          </w:p>
        </w:tc>
        <w:tc>
          <w:tcPr>
            <w:tcW w:w="993" w:type="dxa"/>
            <w:vAlign w:val="center"/>
          </w:tcPr>
          <w:p w14:paraId="356B095E" w14:textId="77777777" w:rsidR="00721758" w:rsidRPr="00307753" w:rsidRDefault="00721758" w:rsidP="00440398">
            <w:pPr>
              <w:jc w:val="center"/>
              <w:rPr>
                <w:rFonts w:cs="Arial"/>
                <w:color w:val="000000" w:themeColor="text1"/>
                <w:sz w:val="20"/>
                <w:szCs w:val="20"/>
              </w:rPr>
            </w:pPr>
            <w:r w:rsidRPr="00307753">
              <w:rPr>
                <w:rFonts w:cs="Arial"/>
                <w:b/>
                <w:bCs/>
                <w:color w:val="000000" w:themeColor="text1"/>
                <w:sz w:val="20"/>
                <w:szCs w:val="20"/>
              </w:rPr>
              <w:t>20946</w:t>
            </w:r>
          </w:p>
        </w:tc>
        <w:tc>
          <w:tcPr>
            <w:tcW w:w="1066" w:type="dxa"/>
            <w:vAlign w:val="center"/>
          </w:tcPr>
          <w:p w14:paraId="66532301" w14:textId="77777777" w:rsidR="00721758" w:rsidRPr="00307753" w:rsidRDefault="00721758" w:rsidP="00440398">
            <w:pPr>
              <w:jc w:val="center"/>
              <w:rPr>
                <w:rFonts w:cs="Arial"/>
                <w:color w:val="000000" w:themeColor="text1"/>
                <w:sz w:val="20"/>
                <w:szCs w:val="20"/>
              </w:rPr>
            </w:pPr>
            <w:r w:rsidRPr="00307753">
              <w:rPr>
                <w:rFonts w:cs="Arial"/>
                <w:color w:val="000000" w:themeColor="text1"/>
                <w:sz w:val="20"/>
                <w:szCs w:val="20"/>
              </w:rPr>
              <w:t>+316</w:t>
            </w:r>
          </w:p>
        </w:tc>
      </w:tr>
      <w:tr w:rsidR="00721758" w:rsidRPr="00307753" w14:paraId="595236C5" w14:textId="77777777" w:rsidTr="00721758">
        <w:trPr>
          <w:trHeight w:val="567"/>
        </w:trPr>
        <w:tc>
          <w:tcPr>
            <w:tcW w:w="1511" w:type="dxa"/>
            <w:shd w:val="clear" w:color="auto" w:fill="BDD6EE" w:themeFill="accent5" w:themeFillTint="66"/>
            <w:vAlign w:val="center"/>
          </w:tcPr>
          <w:p w14:paraId="3307AAC3" w14:textId="77777777" w:rsidR="00721758" w:rsidRPr="00307753" w:rsidRDefault="00721758" w:rsidP="00440398">
            <w:pPr>
              <w:jc w:val="center"/>
              <w:rPr>
                <w:rFonts w:cs="Arial"/>
                <w:color w:val="000000" w:themeColor="text1"/>
                <w:sz w:val="20"/>
                <w:szCs w:val="20"/>
              </w:rPr>
            </w:pPr>
            <w:r w:rsidRPr="00307753">
              <w:rPr>
                <w:rFonts w:eastAsia="Times New Roman" w:cs="Arial"/>
                <w:color w:val="000000" w:themeColor="text1"/>
                <w:sz w:val="20"/>
                <w:szCs w:val="20"/>
              </w:rPr>
              <w:t>UHRA OA rate</w:t>
            </w:r>
            <w:r w:rsidRPr="00307753">
              <w:rPr>
                <w:rFonts w:cs="Arial"/>
                <w:color w:val="000000" w:themeColor="text1"/>
                <w:sz w:val="20"/>
                <w:szCs w:val="20"/>
                <w:vertAlign w:val="superscript"/>
              </w:rPr>
              <w:t>1.4</w:t>
            </w:r>
          </w:p>
        </w:tc>
        <w:tc>
          <w:tcPr>
            <w:tcW w:w="992" w:type="dxa"/>
            <w:shd w:val="clear" w:color="auto" w:fill="BDD6EE" w:themeFill="accent5" w:themeFillTint="66"/>
            <w:vAlign w:val="center"/>
          </w:tcPr>
          <w:p w14:paraId="43EA73B1" w14:textId="77777777" w:rsidR="00721758" w:rsidRPr="00307753" w:rsidRDefault="00721758" w:rsidP="00440398">
            <w:pPr>
              <w:rPr>
                <w:rFonts w:cs="Arial"/>
                <w:color w:val="000000" w:themeColor="text1"/>
                <w:sz w:val="20"/>
                <w:szCs w:val="20"/>
              </w:rPr>
            </w:pPr>
          </w:p>
        </w:tc>
        <w:tc>
          <w:tcPr>
            <w:tcW w:w="992" w:type="dxa"/>
            <w:shd w:val="clear" w:color="auto" w:fill="BDD6EE" w:themeFill="accent5" w:themeFillTint="66"/>
            <w:vAlign w:val="center"/>
          </w:tcPr>
          <w:p w14:paraId="146515AF" w14:textId="77777777" w:rsidR="00721758" w:rsidRPr="00307753" w:rsidRDefault="00721758" w:rsidP="00440398">
            <w:pPr>
              <w:rPr>
                <w:rFonts w:cs="Arial"/>
                <w:color w:val="000000" w:themeColor="text1"/>
                <w:sz w:val="20"/>
                <w:szCs w:val="20"/>
              </w:rPr>
            </w:pPr>
            <w:r w:rsidRPr="00307753">
              <w:rPr>
                <w:rFonts w:cs="Arial"/>
                <w:color w:val="000000" w:themeColor="text1"/>
                <w:sz w:val="20"/>
                <w:szCs w:val="20"/>
              </w:rPr>
              <w:t>51%</w:t>
            </w:r>
          </w:p>
        </w:tc>
        <w:tc>
          <w:tcPr>
            <w:tcW w:w="851" w:type="dxa"/>
            <w:shd w:val="clear" w:color="auto" w:fill="BDD6EE" w:themeFill="accent5" w:themeFillTint="66"/>
            <w:vAlign w:val="center"/>
          </w:tcPr>
          <w:p w14:paraId="04FD9FE3" w14:textId="77777777" w:rsidR="00721758" w:rsidRPr="00307753" w:rsidRDefault="00721758" w:rsidP="00440398">
            <w:pPr>
              <w:rPr>
                <w:rFonts w:cs="Arial"/>
                <w:color w:val="000000" w:themeColor="text1"/>
                <w:sz w:val="20"/>
                <w:szCs w:val="20"/>
              </w:rPr>
            </w:pPr>
            <w:r w:rsidRPr="00307753">
              <w:rPr>
                <w:rFonts w:cs="Arial"/>
                <w:color w:val="000000" w:themeColor="text1"/>
                <w:sz w:val="20"/>
                <w:szCs w:val="20"/>
              </w:rPr>
              <w:t>52%</w:t>
            </w:r>
          </w:p>
        </w:tc>
        <w:tc>
          <w:tcPr>
            <w:tcW w:w="992" w:type="dxa"/>
            <w:shd w:val="clear" w:color="auto" w:fill="BDD6EE" w:themeFill="accent5" w:themeFillTint="66"/>
            <w:vAlign w:val="center"/>
          </w:tcPr>
          <w:p w14:paraId="10EB7B9E" w14:textId="77777777" w:rsidR="00721758" w:rsidRPr="00307753" w:rsidRDefault="00721758" w:rsidP="00440398">
            <w:pPr>
              <w:rPr>
                <w:rFonts w:cs="Arial"/>
                <w:color w:val="000000" w:themeColor="text1"/>
                <w:sz w:val="20"/>
                <w:szCs w:val="20"/>
              </w:rPr>
            </w:pPr>
            <w:r w:rsidRPr="00307753">
              <w:rPr>
                <w:rFonts w:cs="Arial"/>
                <w:color w:val="000000" w:themeColor="text1"/>
                <w:sz w:val="20"/>
                <w:szCs w:val="20"/>
              </w:rPr>
              <w:t xml:space="preserve"> 53%</w:t>
            </w:r>
          </w:p>
        </w:tc>
        <w:tc>
          <w:tcPr>
            <w:tcW w:w="992" w:type="dxa"/>
            <w:shd w:val="clear" w:color="auto" w:fill="BDD6EE" w:themeFill="accent5" w:themeFillTint="66"/>
            <w:vAlign w:val="center"/>
          </w:tcPr>
          <w:p w14:paraId="34F2200F" w14:textId="77777777" w:rsidR="00721758" w:rsidRPr="00307753" w:rsidRDefault="00721758" w:rsidP="00440398">
            <w:pPr>
              <w:rPr>
                <w:rFonts w:cs="Arial"/>
                <w:color w:val="000000" w:themeColor="text1"/>
                <w:sz w:val="20"/>
                <w:szCs w:val="20"/>
              </w:rPr>
            </w:pPr>
            <w:r w:rsidRPr="00307753">
              <w:rPr>
                <w:rFonts w:cs="Arial"/>
                <w:color w:val="000000" w:themeColor="text1"/>
                <w:sz w:val="20"/>
                <w:szCs w:val="20"/>
              </w:rPr>
              <w:t xml:space="preserve"> 53%</w:t>
            </w:r>
          </w:p>
        </w:tc>
        <w:tc>
          <w:tcPr>
            <w:tcW w:w="993" w:type="dxa"/>
            <w:shd w:val="clear" w:color="auto" w:fill="BDD6EE" w:themeFill="accent5" w:themeFillTint="66"/>
            <w:vAlign w:val="center"/>
          </w:tcPr>
          <w:p w14:paraId="47C4BA1D" w14:textId="77777777" w:rsidR="00721758" w:rsidRPr="00307753" w:rsidRDefault="00721758" w:rsidP="00440398">
            <w:pPr>
              <w:jc w:val="center"/>
              <w:rPr>
                <w:rFonts w:cs="Arial"/>
                <w:color w:val="000000" w:themeColor="text1"/>
                <w:sz w:val="20"/>
                <w:szCs w:val="20"/>
              </w:rPr>
            </w:pPr>
            <w:r w:rsidRPr="00307753">
              <w:rPr>
                <w:rFonts w:cs="Arial"/>
                <w:color w:val="000000" w:themeColor="text1"/>
                <w:sz w:val="20"/>
                <w:szCs w:val="20"/>
              </w:rPr>
              <w:t xml:space="preserve"> </w:t>
            </w:r>
            <w:r w:rsidRPr="00307753">
              <w:rPr>
                <w:rFonts w:cs="Arial"/>
                <w:b/>
                <w:bCs/>
                <w:color w:val="000000" w:themeColor="text1"/>
                <w:sz w:val="20"/>
                <w:szCs w:val="20"/>
              </w:rPr>
              <w:t>54%</w:t>
            </w:r>
          </w:p>
        </w:tc>
        <w:tc>
          <w:tcPr>
            <w:tcW w:w="1066" w:type="dxa"/>
            <w:shd w:val="clear" w:color="auto" w:fill="BDD6EE" w:themeFill="accent5" w:themeFillTint="66"/>
            <w:vAlign w:val="center"/>
          </w:tcPr>
          <w:p w14:paraId="6124BC21" w14:textId="77777777" w:rsidR="00721758" w:rsidRPr="00307753" w:rsidRDefault="00721758" w:rsidP="00440398">
            <w:pPr>
              <w:jc w:val="center"/>
              <w:rPr>
                <w:rFonts w:cs="Arial"/>
                <w:color w:val="000000" w:themeColor="text1"/>
                <w:sz w:val="20"/>
                <w:szCs w:val="20"/>
              </w:rPr>
            </w:pPr>
            <w:r w:rsidRPr="00307753">
              <w:rPr>
                <w:rFonts w:cs="Arial"/>
                <w:color w:val="000000" w:themeColor="text1"/>
                <w:sz w:val="20"/>
                <w:szCs w:val="20"/>
              </w:rPr>
              <w:t>+ 1%</w:t>
            </w:r>
          </w:p>
        </w:tc>
      </w:tr>
      <w:tr w:rsidR="00721758" w:rsidRPr="00307753" w14:paraId="49ED2E16" w14:textId="77777777" w:rsidTr="00721758">
        <w:trPr>
          <w:trHeight w:val="567"/>
        </w:trPr>
        <w:tc>
          <w:tcPr>
            <w:tcW w:w="1511" w:type="dxa"/>
            <w:vAlign w:val="center"/>
          </w:tcPr>
          <w:p w14:paraId="420C1C47" w14:textId="77777777" w:rsidR="00721758" w:rsidRPr="00307753" w:rsidRDefault="00721758" w:rsidP="00440398">
            <w:pPr>
              <w:jc w:val="center"/>
              <w:rPr>
                <w:rFonts w:cs="Arial"/>
                <w:color w:val="000000" w:themeColor="text1"/>
                <w:sz w:val="20"/>
                <w:szCs w:val="20"/>
              </w:rPr>
            </w:pPr>
            <w:r w:rsidRPr="00307753">
              <w:rPr>
                <w:rFonts w:eastAsia="Times New Roman" w:cs="Arial"/>
                <w:color w:val="000000" w:themeColor="text1"/>
                <w:sz w:val="20"/>
                <w:szCs w:val="20"/>
              </w:rPr>
              <w:t>UHRA Theses</w:t>
            </w:r>
          </w:p>
        </w:tc>
        <w:tc>
          <w:tcPr>
            <w:tcW w:w="992" w:type="dxa"/>
            <w:vAlign w:val="center"/>
          </w:tcPr>
          <w:p w14:paraId="1D3EB67C" w14:textId="77777777" w:rsidR="00721758" w:rsidRPr="00307753" w:rsidRDefault="00721758" w:rsidP="00440398">
            <w:pPr>
              <w:jc w:val="center"/>
              <w:rPr>
                <w:rFonts w:cs="Arial"/>
                <w:color w:val="000000" w:themeColor="text1"/>
                <w:sz w:val="20"/>
                <w:szCs w:val="20"/>
                <w:highlight w:val="lightGray"/>
              </w:rPr>
            </w:pPr>
            <w:r w:rsidRPr="005D47D9">
              <w:rPr>
                <w:rFonts w:cs="Arial"/>
                <w:sz w:val="20"/>
                <w:szCs w:val="20"/>
              </w:rPr>
              <w:t>872</w:t>
            </w:r>
          </w:p>
        </w:tc>
        <w:tc>
          <w:tcPr>
            <w:tcW w:w="992" w:type="dxa"/>
            <w:vAlign w:val="center"/>
          </w:tcPr>
          <w:p w14:paraId="09EB822D" w14:textId="77777777" w:rsidR="00721758" w:rsidRPr="00307753" w:rsidRDefault="00721758" w:rsidP="00440398">
            <w:pPr>
              <w:jc w:val="center"/>
              <w:rPr>
                <w:rFonts w:cs="Arial"/>
                <w:color w:val="000000" w:themeColor="text1"/>
                <w:sz w:val="20"/>
                <w:szCs w:val="20"/>
              </w:rPr>
            </w:pPr>
            <w:r w:rsidRPr="00307753">
              <w:rPr>
                <w:rFonts w:cs="Arial"/>
                <w:color w:val="000000" w:themeColor="text1"/>
                <w:sz w:val="20"/>
                <w:szCs w:val="20"/>
              </w:rPr>
              <w:t>881</w:t>
            </w:r>
          </w:p>
        </w:tc>
        <w:tc>
          <w:tcPr>
            <w:tcW w:w="851" w:type="dxa"/>
            <w:vAlign w:val="center"/>
          </w:tcPr>
          <w:p w14:paraId="2AEDA4A2" w14:textId="77777777" w:rsidR="00721758" w:rsidRPr="00307753" w:rsidRDefault="00721758" w:rsidP="00440398">
            <w:pPr>
              <w:jc w:val="center"/>
              <w:rPr>
                <w:rFonts w:cs="Arial"/>
                <w:color w:val="000000" w:themeColor="text1"/>
                <w:sz w:val="20"/>
                <w:szCs w:val="20"/>
              </w:rPr>
            </w:pPr>
            <w:r w:rsidRPr="00307753">
              <w:rPr>
                <w:rFonts w:cs="Arial"/>
                <w:color w:val="000000" w:themeColor="text1"/>
                <w:sz w:val="20"/>
                <w:szCs w:val="20"/>
              </w:rPr>
              <w:t>924</w:t>
            </w:r>
          </w:p>
        </w:tc>
        <w:tc>
          <w:tcPr>
            <w:tcW w:w="992" w:type="dxa"/>
            <w:vAlign w:val="center"/>
          </w:tcPr>
          <w:p w14:paraId="79D19BBC" w14:textId="77777777" w:rsidR="00721758" w:rsidRPr="00307753" w:rsidRDefault="00721758" w:rsidP="00440398">
            <w:pPr>
              <w:jc w:val="center"/>
              <w:rPr>
                <w:rFonts w:cs="Arial"/>
                <w:color w:val="000000" w:themeColor="text1"/>
                <w:sz w:val="20"/>
                <w:szCs w:val="20"/>
              </w:rPr>
            </w:pPr>
            <w:r w:rsidRPr="00307753">
              <w:rPr>
                <w:rFonts w:cs="Arial"/>
                <w:color w:val="000000" w:themeColor="text1"/>
                <w:sz w:val="20"/>
                <w:szCs w:val="20"/>
              </w:rPr>
              <w:t>970</w:t>
            </w:r>
          </w:p>
        </w:tc>
        <w:tc>
          <w:tcPr>
            <w:tcW w:w="992" w:type="dxa"/>
            <w:vAlign w:val="center"/>
          </w:tcPr>
          <w:p w14:paraId="79508709" w14:textId="77777777" w:rsidR="00721758" w:rsidRPr="00307753" w:rsidRDefault="00721758" w:rsidP="00440398">
            <w:pPr>
              <w:jc w:val="center"/>
              <w:rPr>
                <w:rFonts w:cs="Arial"/>
                <w:color w:val="000000" w:themeColor="text1"/>
                <w:sz w:val="20"/>
                <w:szCs w:val="20"/>
              </w:rPr>
            </w:pPr>
            <w:r w:rsidRPr="00307753">
              <w:rPr>
                <w:rFonts w:cs="Arial"/>
                <w:color w:val="000000" w:themeColor="text1"/>
                <w:sz w:val="20"/>
                <w:szCs w:val="20"/>
              </w:rPr>
              <w:t>995</w:t>
            </w:r>
          </w:p>
        </w:tc>
        <w:tc>
          <w:tcPr>
            <w:tcW w:w="993" w:type="dxa"/>
            <w:vAlign w:val="center"/>
          </w:tcPr>
          <w:p w14:paraId="21595B55" w14:textId="77777777" w:rsidR="00721758" w:rsidRPr="00307753" w:rsidRDefault="00721758" w:rsidP="00440398">
            <w:pPr>
              <w:jc w:val="center"/>
              <w:rPr>
                <w:rFonts w:cs="Arial"/>
                <w:color w:val="000000" w:themeColor="text1"/>
                <w:sz w:val="20"/>
                <w:szCs w:val="20"/>
              </w:rPr>
            </w:pPr>
            <w:r w:rsidRPr="00307753">
              <w:rPr>
                <w:rFonts w:cs="Arial"/>
                <w:b/>
                <w:bCs/>
                <w:color w:val="000000" w:themeColor="text1"/>
                <w:sz w:val="20"/>
                <w:szCs w:val="20"/>
              </w:rPr>
              <w:t>1018</w:t>
            </w:r>
          </w:p>
        </w:tc>
        <w:tc>
          <w:tcPr>
            <w:tcW w:w="1066" w:type="dxa"/>
            <w:vAlign w:val="center"/>
          </w:tcPr>
          <w:p w14:paraId="7C11977A" w14:textId="77777777" w:rsidR="00721758" w:rsidRPr="00307753" w:rsidRDefault="00721758" w:rsidP="00440398">
            <w:pPr>
              <w:jc w:val="center"/>
              <w:rPr>
                <w:rFonts w:cs="Arial"/>
                <w:color w:val="000000" w:themeColor="text1"/>
                <w:sz w:val="20"/>
                <w:szCs w:val="20"/>
              </w:rPr>
            </w:pPr>
            <w:r w:rsidRPr="00307753">
              <w:rPr>
                <w:rFonts w:cs="Arial"/>
                <w:color w:val="000000" w:themeColor="text1"/>
                <w:sz w:val="20"/>
                <w:szCs w:val="20"/>
              </w:rPr>
              <w:t>+ 23</w:t>
            </w:r>
          </w:p>
        </w:tc>
      </w:tr>
      <w:tr w:rsidR="00721758" w:rsidRPr="00307753" w14:paraId="470FB512" w14:textId="77777777" w:rsidTr="00307753">
        <w:trPr>
          <w:trHeight w:val="567"/>
        </w:trPr>
        <w:tc>
          <w:tcPr>
            <w:tcW w:w="1511" w:type="dxa"/>
            <w:shd w:val="clear" w:color="auto" w:fill="BDD6EE" w:themeFill="accent5" w:themeFillTint="66"/>
            <w:vAlign w:val="center"/>
          </w:tcPr>
          <w:p w14:paraId="2B0DEB1E" w14:textId="77777777" w:rsidR="00721758" w:rsidRPr="00307753" w:rsidRDefault="00721758" w:rsidP="00440398">
            <w:pPr>
              <w:jc w:val="center"/>
              <w:rPr>
                <w:rFonts w:eastAsia="Times New Roman" w:cs="Arial"/>
                <w:color w:val="000000" w:themeColor="text1"/>
                <w:sz w:val="20"/>
                <w:szCs w:val="20"/>
              </w:rPr>
            </w:pPr>
            <w:r w:rsidRPr="00307753">
              <w:rPr>
                <w:rFonts w:eastAsia="Times New Roman" w:cs="Arial"/>
                <w:color w:val="000000" w:themeColor="text1"/>
                <w:sz w:val="20"/>
                <w:szCs w:val="20"/>
              </w:rPr>
              <w:t xml:space="preserve">UHRA </w:t>
            </w:r>
            <w:proofErr w:type="spellStart"/>
            <w:r w:rsidRPr="00307753">
              <w:rPr>
                <w:rFonts w:cs="Arial"/>
                <w:color w:val="000000" w:themeColor="text1"/>
                <w:sz w:val="20"/>
                <w:szCs w:val="20"/>
              </w:rPr>
              <w:t>fulltext</w:t>
            </w:r>
            <w:proofErr w:type="spellEnd"/>
            <w:r w:rsidRPr="00307753">
              <w:rPr>
                <w:rFonts w:cs="Arial"/>
                <w:color w:val="000000" w:themeColor="text1"/>
                <w:sz w:val="20"/>
                <w:szCs w:val="20"/>
              </w:rPr>
              <w:t xml:space="preserve"> downloads per month</w:t>
            </w:r>
            <w:r w:rsidRPr="00307753">
              <w:rPr>
                <w:rFonts w:cs="Arial"/>
                <w:color w:val="000000" w:themeColor="text1"/>
                <w:sz w:val="20"/>
                <w:szCs w:val="20"/>
                <w:vertAlign w:val="superscript"/>
              </w:rPr>
              <w:t xml:space="preserve"> 1.5</w:t>
            </w:r>
          </w:p>
        </w:tc>
        <w:tc>
          <w:tcPr>
            <w:tcW w:w="992" w:type="dxa"/>
            <w:shd w:val="clear" w:color="auto" w:fill="BDD6EE" w:themeFill="accent5" w:themeFillTint="66"/>
            <w:vAlign w:val="center"/>
          </w:tcPr>
          <w:p w14:paraId="6C09C9CE" w14:textId="09933A44" w:rsidR="00721758" w:rsidRPr="00307753" w:rsidRDefault="00721758" w:rsidP="00440398">
            <w:pPr>
              <w:jc w:val="center"/>
              <w:rPr>
                <w:rFonts w:cs="Arial"/>
                <w:color w:val="000000" w:themeColor="text1"/>
                <w:sz w:val="20"/>
                <w:szCs w:val="20"/>
                <w:highlight w:val="lightGray"/>
              </w:rPr>
            </w:pPr>
          </w:p>
        </w:tc>
        <w:tc>
          <w:tcPr>
            <w:tcW w:w="992" w:type="dxa"/>
            <w:shd w:val="clear" w:color="auto" w:fill="BDD6EE" w:themeFill="accent5" w:themeFillTint="66"/>
            <w:vAlign w:val="center"/>
          </w:tcPr>
          <w:p w14:paraId="4E8FD820" w14:textId="77777777" w:rsidR="00721758" w:rsidRPr="00307753" w:rsidRDefault="00721758" w:rsidP="00440398">
            <w:pPr>
              <w:jc w:val="center"/>
              <w:rPr>
                <w:rFonts w:cs="Arial"/>
                <w:color w:val="000000" w:themeColor="text1"/>
                <w:sz w:val="20"/>
                <w:szCs w:val="20"/>
              </w:rPr>
            </w:pPr>
            <w:r w:rsidRPr="00307753">
              <w:rPr>
                <w:rFonts w:cs="Arial"/>
                <w:color w:val="000000" w:themeColor="text1"/>
                <w:sz w:val="20"/>
                <w:szCs w:val="20"/>
              </w:rPr>
              <w:t>42082</w:t>
            </w:r>
          </w:p>
        </w:tc>
        <w:tc>
          <w:tcPr>
            <w:tcW w:w="851" w:type="dxa"/>
            <w:shd w:val="clear" w:color="auto" w:fill="BDD6EE" w:themeFill="accent5" w:themeFillTint="66"/>
            <w:vAlign w:val="center"/>
          </w:tcPr>
          <w:p w14:paraId="7F6319DD" w14:textId="77777777" w:rsidR="00721758" w:rsidRPr="00307753" w:rsidRDefault="00721758" w:rsidP="00440398">
            <w:pPr>
              <w:jc w:val="center"/>
              <w:rPr>
                <w:rFonts w:cs="Arial"/>
                <w:color w:val="000000" w:themeColor="text1"/>
                <w:sz w:val="20"/>
                <w:szCs w:val="20"/>
              </w:rPr>
            </w:pPr>
            <w:r w:rsidRPr="00307753">
              <w:rPr>
                <w:rFonts w:cs="Arial"/>
                <w:color w:val="000000" w:themeColor="text1"/>
                <w:sz w:val="20"/>
                <w:szCs w:val="20"/>
              </w:rPr>
              <w:t xml:space="preserve">  35665</w:t>
            </w:r>
          </w:p>
        </w:tc>
        <w:tc>
          <w:tcPr>
            <w:tcW w:w="992" w:type="dxa"/>
            <w:shd w:val="clear" w:color="auto" w:fill="BDD6EE" w:themeFill="accent5" w:themeFillTint="66"/>
            <w:vAlign w:val="center"/>
          </w:tcPr>
          <w:p w14:paraId="17E4361D" w14:textId="77777777" w:rsidR="00721758" w:rsidRPr="00307753" w:rsidRDefault="00721758" w:rsidP="00440398">
            <w:pPr>
              <w:jc w:val="center"/>
              <w:rPr>
                <w:rFonts w:cs="Arial"/>
                <w:color w:val="000000" w:themeColor="text1"/>
                <w:sz w:val="20"/>
                <w:szCs w:val="20"/>
              </w:rPr>
            </w:pPr>
            <w:r w:rsidRPr="00307753">
              <w:rPr>
                <w:rFonts w:cs="Arial"/>
                <w:color w:val="000000" w:themeColor="text1"/>
                <w:sz w:val="20"/>
                <w:szCs w:val="20"/>
              </w:rPr>
              <w:t xml:space="preserve">  33324</w:t>
            </w:r>
          </w:p>
        </w:tc>
        <w:tc>
          <w:tcPr>
            <w:tcW w:w="992" w:type="dxa"/>
            <w:shd w:val="clear" w:color="auto" w:fill="BDD6EE" w:themeFill="accent5" w:themeFillTint="66"/>
            <w:vAlign w:val="center"/>
          </w:tcPr>
          <w:p w14:paraId="28FCAFB5" w14:textId="77777777" w:rsidR="00721758" w:rsidRPr="00307753" w:rsidRDefault="00721758" w:rsidP="00440398">
            <w:pPr>
              <w:jc w:val="center"/>
              <w:rPr>
                <w:rFonts w:cs="Arial"/>
                <w:color w:val="000000" w:themeColor="text1"/>
                <w:sz w:val="20"/>
                <w:szCs w:val="20"/>
              </w:rPr>
            </w:pPr>
            <w:r w:rsidRPr="00307753">
              <w:rPr>
                <w:rFonts w:cs="Arial"/>
                <w:color w:val="000000" w:themeColor="text1"/>
                <w:sz w:val="20"/>
                <w:szCs w:val="20"/>
              </w:rPr>
              <w:t>33516</w:t>
            </w:r>
          </w:p>
        </w:tc>
        <w:tc>
          <w:tcPr>
            <w:tcW w:w="993" w:type="dxa"/>
            <w:shd w:val="clear" w:color="auto" w:fill="BDD6EE" w:themeFill="accent5" w:themeFillTint="66"/>
            <w:vAlign w:val="center"/>
          </w:tcPr>
          <w:p w14:paraId="00ED7CF0" w14:textId="77777777" w:rsidR="00721758" w:rsidRPr="00307753" w:rsidRDefault="00721758" w:rsidP="00440398">
            <w:pPr>
              <w:rPr>
                <w:rFonts w:cs="Arial"/>
                <w:color w:val="000000" w:themeColor="text1"/>
                <w:sz w:val="20"/>
                <w:szCs w:val="20"/>
              </w:rPr>
            </w:pPr>
            <w:r w:rsidRPr="00307753">
              <w:rPr>
                <w:rFonts w:cs="Arial"/>
                <w:b/>
                <w:bCs/>
                <w:color w:val="000000" w:themeColor="text1"/>
                <w:sz w:val="20"/>
                <w:szCs w:val="20"/>
              </w:rPr>
              <w:t>39734</w:t>
            </w:r>
          </w:p>
        </w:tc>
        <w:tc>
          <w:tcPr>
            <w:tcW w:w="1066" w:type="dxa"/>
            <w:shd w:val="clear" w:color="auto" w:fill="BDD6EE" w:themeFill="accent5" w:themeFillTint="66"/>
            <w:vAlign w:val="center"/>
          </w:tcPr>
          <w:p w14:paraId="31DEAFEC" w14:textId="77777777" w:rsidR="00721758" w:rsidRPr="00307753" w:rsidRDefault="00721758" w:rsidP="00440398">
            <w:pPr>
              <w:rPr>
                <w:rFonts w:cs="Arial"/>
                <w:color w:val="000000" w:themeColor="text1"/>
                <w:sz w:val="20"/>
                <w:szCs w:val="20"/>
              </w:rPr>
            </w:pPr>
            <w:r w:rsidRPr="00307753">
              <w:rPr>
                <w:rFonts w:cs="Arial"/>
                <w:color w:val="000000" w:themeColor="text1"/>
                <w:sz w:val="20"/>
                <w:szCs w:val="20"/>
              </w:rPr>
              <w:t xml:space="preserve">     + 18%</w:t>
            </w:r>
          </w:p>
        </w:tc>
      </w:tr>
    </w:tbl>
    <w:p w14:paraId="40A24BB1" w14:textId="77777777" w:rsidR="00D86A2E" w:rsidRPr="00307753" w:rsidRDefault="00D86A2E" w:rsidP="00D86A2E">
      <w:pPr>
        <w:spacing w:before="120" w:after="120"/>
        <w:rPr>
          <w:rFonts w:cs="Arial"/>
          <w:color w:val="000000" w:themeColor="text1"/>
          <w:sz w:val="20"/>
          <w:szCs w:val="20"/>
        </w:rPr>
      </w:pPr>
      <w:r w:rsidRPr="00307753">
        <w:rPr>
          <w:rFonts w:cs="Arial"/>
          <w:color w:val="000000" w:themeColor="text1"/>
          <w:sz w:val="20"/>
          <w:szCs w:val="20"/>
        </w:rPr>
        <w:t>Notes:</w:t>
      </w:r>
    </w:p>
    <w:p w14:paraId="2D3EA6DC" w14:textId="77777777" w:rsidR="00D86A2E" w:rsidRPr="00307753" w:rsidRDefault="00D86A2E" w:rsidP="00D86A2E">
      <w:pPr>
        <w:pStyle w:val="ListParagraph"/>
        <w:numPr>
          <w:ilvl w:val="1"/>
          <w:numId w:val="16"/>
        </w:numPr>
        <w:spacing w:before="120" w:after="120" w:line="240" w:lineRule="auto"/>
        <w:rPr>
          <w:rFonts w:cs="Arial"/>
          <w:color w:val="000000" w:themeColor="text1"/>
          <w:sz w:val="20"/>
          <w:szCs w:val="20"/>
        </w:rPr>
      </w:pPr>
      <w:r w:rsidRPr="00307753">
        <w:rPr>
          <w:rFonts w:cs="Arial"/>
          <w:color w:val="000000" w:themeColor="text1"/>
          <w:sz w:val="20"/>
          <w:szCs w:val="20"/>
        </w:rPr>
        <w:t xml:space="preserve">The rate of addition of research outputs over 2 years prior to this report is 1750 per year. </w:t>
      </w:r>
    </w:p>
    <w:p w14:paraId="57940C6E" w14:textId="77777777" w:rsidR="00D86A2E" w:rsidRPr="00307753" w:rsidRDefault="00D86A2E" w:rsidP="00D86A2E">
      <w:pPr>
        <w:pStyle w:val="ListParagraph"/>
        <w:numPr>
          <w:ilvl w:val="1"/>
          <w:numId w:val="16"/>
        </w:numPr>
        <w:spacing w:before="120" w:after="120" w:line="240" w:lineRule="auto"/>
        <w:rPr>
          <w:rFonts w:cs="Arial"/>
          <w:color w:val="000000" w:themeColor="text1"/>
          <w:sz w:val="20"/>
          <w:szCs w:val="20"/>
        </w:rPr>
      </w:pPr>
      <w:r w:rsidRPr="00307753">
        <w:rPr>
          <w:rFonts w:cs="Arial"/>
          <w:color w:val="000000" w:themeColor="text1"/>
          <w:sz w:val="20"/>
          <w:szCs w:val="20"/>
        </w:rPr>
        <w:t>330 people logged in to RIS in the 3 months prior to this report.</w:t>
      </w:r>
    </w:p>
    <w:p w14:paraId="65ADAEE0" w14:textId="77777777" w:rsidR="00D86A2E" w:rsidRPr="00307753" w:rsidRDefault="00D86A2E" w:rsidP="00D86A2E">
      <w:pPr>
        <w:pStyle w:val="ListParagraph"/>
        <w:numPr>
          <w:ilvl w:val="1"/>
          <w:numId w:val="16"/>
        </w:numPr>
        <w:spacing w:before="120" w:after="120" w:line="240" w:lineRule="auto"/>
        <w:rPr>
          <w:rFonts w:cs="Arial"/>
          <w:color w:val="000000" w:themeColor="text1"/>
          <w:sz w:val="20"/>
          <w:szCs w:val="20"/>
        </w:rPr>
      </w:pPr>
      <w:r w:rsidRPr="00307753">
        <w:rPr>
          <w:rFonts w:cs="Arial"/>
          <w:color w:val="000000" w:themeColor="text1"/>
          <w:sz w:val="20"/>
          <w:szCs w:val="20"/>
        </w:rPr>
        <w:t xml:space="preserve">Some empty profiles and unlocked accounts that have not been used since 1/1/2014 were locked, so as to bring our number of active accounts in line with our Pure license, which allows for 750 active users. </w:t>
      </w:r>
    </w:p>
    <w:p w14:paraId="531ABC30" w14:textId="77777777" w:rsidR="00D86A2E" w:rsidRPr="00307753" w:rsidRDefault="00D86A2E" w:rsidP="00D86A2E">
      <w:pPr>
        <w:pStyle w:val="ListParagraph"/>
        <w:numPr>
          <w:ilvl w:val="1"/>
          <w:numId w:val="16"/>
        </w:numPr>
        <w:spacing w:before="120" w:after="120" w:line="240" w:lineRule="auto"/>
        <w:rPr>
          <w:rFonts w:cs="Arial"/>
          <w:color w:val="000000" w:themeColor="text1"/>
          <w:sz w:val="20"/>
          <w:szCs w:val="20"/>
        </w:rPr>
      </w:pPr>
      <w:r w:rsidRPr="00307753">
        <w:rPr>
          <w:rFonts w:eastAsia="Times New Roman" w:cs="Arial"/>
          <w:color w:val="000000" w:themeColor="text1"/>
          <w:sz w:val="20"/>
          <w:szCs w:val="20"/>
        </w:rPr>
        <w:t>UHRA OA rate (%) is (</w:t>
      </w:r>
      <w:r w:rsidRPr="00307753">
        <w:rPr>
          <w:rFonts w:cs="Arial"/>
          <w:color w:val="000000" w:themeColor="text1"/>
          <w:sz w:val="20"/>
          <w:szCs w:val="20"/>
        </w:rPr>
        <w:t>the number of items with a manuscript)</w:t>
      </w:r>
      <w:proofErr w:type="gramStart"/>
      <w:r w:rsidRPr="00307753">
        <w:rPr>
          <w:rFonts w:cs="Arial"/>
          <w:color w:val="000000" w:themeColor="text1"/>
          <w:sz w:val="20"/>
          <w:szCs w:val="20"/>
        </w:rPr>
        <w:t>/(</w:t>
      </w:r>
      <w:proofErr w:type="gramEnd"/>
      <w:r w:rsidRPr="00307753">
        <w:rPr>
          <w:rFonts w:cs="Arial"/>
          <w:color w:val="000000" w:themeColor="text1"/>
          <w:sz w:val="20"/>
          <w:szCs w:val="20"/>
        </w:rPr>
        <w:t xml:space="preserve">total number of items) </w:t>
      </w:r>
    </w:p>
    <w:p w14:paraId="43B25E18" w14:textId="77777777" w:rsidR="00D86A2E" w:rsidRPr="00307753" w:rsidRDefault="00D86A2E" w:rsidP="00D86A2E">
      <w:pPr>
        <w:pStyle w:val="ListParagraph"/>
        <w:numPr>
          <w:ilvl w:val="1"/>
          <w:numId w:val="16"/>
        </w:numPr>
        <w:spacing w:before="120" w:after="120" w:line="240" w:lineRule="auto"/>
        <w:rPr>
          <w:rFonts w:cs="Arial"/>
          <w:color w:val="000000" w:themeColor="text1"/>
          <w:sz w:val="20"/>
          <w:szCs w:val="20"/>
        </w:rPr>
      </w:pPr>
      <w:r w:rsidRPr="00307753">
        <w:rPr>
          <w:rFonts w:eastAsia="Times New Roman" w:cs="Arial"/>
          <w:color w:val="000000"/>
          <w:sz w:val="20"/>
          <w:szCs w:val="20"/>
          <w:shd w:val="clear" w:color="auto" w:fill="FFFFFF"/>
        </w:rPr>
        <w:t xml:space="preserve">UHRA download figures are independently calculated by IRUS-UK </w:t>
      </w:r>
      <w:hyperlink r:id="rId36">
        <w:r w:rsidRPr="00307753">
          <w:rPr>
            <w:rStyle w:val="Hyperlink"/>
            <w:rFonts w:eastAsia="Times New Roman" w:cs="Arial"/>
            <w:color w:val="000000" w:themeColor="text1"/>
            <w:sz w:val="20"/>
            <w:szCs w:val="20"/>
          </w:rPr>
          <w:t>http://irus.mimas.ac.uk</w:t>
        </w:r>
      </w:hyperlink>
      <w:r w:rsidRPr="00307753">
        <w:rPr>
          <w:rFonts w:eastAsia="Times New Roman" w:cs="Arial"/>
          <w:color w:val="000000"/>
          <w:sz w:val="20"/>
          <w:szCs w:val="20"/>
          <w:shd w:val="clear" w:color="auto" w:fill="FFFFFF"/>
        </w:rPr>
        <w:t>.</w:t>
      </w:r>
      <w:r w:rsidRPr="00307753">
        <w:rPr>
          <w:rFonts w:eastAsia="Times New Roman" w:cs="Arial"/>
          <w:color w:val="000000"/>
          <w:sz w:val="20"/>
          <w:szCs w:val="20"/>
        </w:rPr>
        <w:t xml:space="preserve"> </w:t>
      </w:r>
    </w:p>
    <w:p w14:paraId="2CD0A4B3" w14:textId="77777777" w:rsidR="00D86A2E" w:rsidRPr="00307753" w:rsidRDefault="00D86A2E" w:rsidP="00D86A2E">
      <w:pPr>
        <w:rPr>
          <w:rFonts w:eastAsia="Times New Roman" w:cs="Arial"/>
          <w:b/>
          <w:bCs/>
          <w:color w:val="000000" w:themeColor="text1"/>
          <w:sz w:val="20"/>
          <w:szCs w:val="20"/>
        </w:rPr>
      </w:pPr>
    </w:p>
    <w:p w14:paraId="6ABB7217" w14:textId="77777777" w:rsidR="00BF6212" w:rsidRDefault="00BF6212" w:rsidP="00D86A2E">
      <w:pPr>
        <w:rPr>
          <w:rFonts w:eastAsia="Times New Roman" w:cs="Arial"/>
          <w:b/>
          <w:bCs/>
          <w:color w:val="000000" w:themeColor="text1"/>
          <w:sz w:val="20"/>
          <w:szCs w:val="20"/>
        </w:rPr>
      </w:pPr>
    </w:p>
    <w:p w14:paraId="1E7DF5B6" w14:textId="77777777" w:rsidR="00BF6212" w:rsidRDefault="00BF6212" w:rsidP="00D86A2E">
      <w:pPr>
        <w:rPr>
          <w:rFonts w:eastAsia="Times New Roman" w:cs="Arial"/>
          <w:b/>
          <w:bCs/>
          <w:color w:val="000000" w:themeColor="text1"/>
          <w:sz w:val="20"/>
          <w:szCs w:val="20"/>
        </w:rPr>
      </w:pPr>
    </w:p>
    <w:p w14:paraId="2381D294" w14:textId="77777777" w:rsidR="00BF6212" w:rsidRDefault="00BF6212" w:rsidP="00D86A2E">
      <w:pPr>
        <w:rPr>
          <w:rFonts w:eastAsia="Times New Roman" w:cs="Arial"/>
          <w:b/>
          <w:bCs/>
          <w:color w:val="000000" w:themeColor="text1"/>
          <w:sz w:val="20"/>
          <w:szCs w:val="20"/>
        </w:rPr>
      </w:pPr>
    </w:p>
    <w:p w14:paraId="5B4B22AB" w14:textId="467849AA" w:rsidR="00D86A2E" w:rsidRPr="00876E66" w:rsidRDefault="00D86A2E" w:rsidP="00D86A2E">
      <w:pPr>
        <w:rPr>
          <w:rFonts w:eastAsia="Times New Roman" w:cs="Arial"/>
          <w:b/>
          <w:bCs/>
          <w:color w:val="000000" w:themeColor="text1"/>
        </w:rPr>
      </w:pPr>
      <w:r w:rsidRPr="00876E66">
        <w:rPr>
          <w:rFonts w:eastAsia="Times New Roman" w:cs="Arial"/>
          <w:b/>
          <w:bCs/>
          <w:color w:val="000000" w:themeColor="text1"/>
        </w:rPr>
        <w:lastRenderedPageBreak/>
        <w:t xml:space="preserve">2 HEFCE REF Open Access compliance </w:t>
      </w:r>
    </w:p>
    <w:p w14:paraId="6C7DEA70" w14:textId="77777777" w:rsidR="00D86A2E" w:rsidRPr="00307753" w:rsidRDefault="00D86A2E" w:rsidP="00D86A2E">
      <w:pPr>
        <w:rPr>
          <w:rFonts w:eastAsia="Times New Roman" w:cs="Arial"/>
          <w:color w:val="000000" w:themeColor="text1"/>
          <w:sz w:val="20"/>
          <w:szCs w:val="20"/>
        </w:rPr>
      </w:pPr>
    </w:p>
    <w:tbl>
      <w:tblPr>
        <w:tblStyle w:val="TableGrid"/>
        <w:tblW w:w="7366" w:type="dxa"/>
        <w:tblLook w:val="04A0" w:firstRow="1" w:lastRow="0" w:firstColumn="1" w:lastColumn="0" w:noHBand="0" w:noVBand="1"/>
      </w:tblPr>
      <w:tblGrid>
        <w:gridCol w:w="3539"/>
        <w:gridCol w:w="1107"/>
        <w:gridCol w:w="2720"/>
      </w:tblGrid>
      <w:tr w:rsidR="00D86A2E" w:rsidRPr="00307753" w14:paraId="7E1F8B03" w14:textId="77777777" w:rsidTr="00440398">
        <w:trPr>
          <w:trHeight w:val="619"/>
        </w:trPr>
        <w:tc>
          <w:tcPr>
            <w:tcW w:w="3539" w:type="dxa"/>
          </w:tcPr>
          <w:p w14:paraId="3597AF3E" w14:textId="77777777" w:rsidR="00D86A2E" w:rsidRPr="00307753" w:rsidRDefault="00D86A2E" w:rsidP="00440398">
            <w:pPr>
              <w:rPr>
                <w:rFonts w:eastAsia="Times New Roman" w:cs="Arial"/>
                <w:color w:val="000000" w:themeColor="text1"/>
                <w:sz w:val="20"/>
                <w:szCs w:val="20"/>
              </w:rPr>
            </w:pPr>
          </w:p>
        </w:tc>
        <w:tc>
          <w:tcPr>
            <w:tcW w:w="1107" w:type="dxa"/>
          </w:tcPr>
          <w:p w14:paraId="172AAE60" w14:textId="77777777" w:rsidR="00D86A2E" w:rsidRPr="00307753" w:rsidRDefault="00D86A2E" w:rsidP="00440398">
            <w:pPr>
              <w:rPr>
                <w:rFonts w:eastAsia="Times New Roman" w:cs="Arial"/>
                <w:color w:val="000000" w:themeColor="text1"/>
                <w:sz w:val="20"/>
                <w:szCs w:val="20"/>
              </w:rPr>
            </w:pPr>
            <w:r w:rsidRPr="00307753">
              <w:rPr>
                <w:rFonts w:eastAsia="Times New Roman" w:cs="Arial"/>
                <w:color w:val="000000" w:themeColor="text1"/>
                <w:sz w:val="20"/>
                <w:szCs w:val="20"/>
              </w:rPr>
              <w:t xml:space="preserve">Research Outputs </w:t>
            </w:r>
          </w:p>
        </w:tc>
        <w:tc>
          <w:tcPr>
            <w:tcW w:w="2720" w:type="dxa"/>
          </w:tcPr>
          <w:p w14:paraId="5B704BFA" w14:textId="77777777" w:rsidR="00D86A2E" w:rsidRPr="00307753" w:rsidRDefault="00D86A2E" w:rsidP="00440398">
            <w:pPr>
              <w:rPr>
                <w:rFonts w:eastAsia="Times New Roman" w:cs="Arial"/>
                <w:color w:val="000000" w:themeColor="text1"/>
                <w:sz w:val="20"/>
                <w:szCs w:val="20"/>
              </w:rPr>
            </w:pPr>
            <w:r w:rsidRPr="00307753">
              <w:rPr>
                <w:rFonts w:eastAsia="Times New Roman" w:cs="Arial"/>
                <w:color w:val="000000" w:themeColor="text1"/>
                <w:sz w:val="20"/>
                <w:szCs w:val="20"/>
              </w:rPr>
              <w:t>OA Non-Compliance</w:t>
            </w:r>
            <w:r w:rsidRPr="00307753">
              <w:rPr>
                <w:rFonts w:eastAsia="Times New Roman" w:cs="Arial"/>
                <w:color w:val="000000" w:themeColor="text1"/>
                <w:sz w:val="20"/>
                <w:szCs w:val="20"/>
                <w:vertAlign w:val="superscript"/>
              </w:rPr>
              <w:t>2.1</w:t>
            </w:r>
            <w:r w:rsidRPr="00307753">
              <w:rPr>
                <w:rFonts w:eastAsia="Times New Roman" w:cs="Arial"/>
                <w:color w:val="000000" w:themeColor="text1"/>
                <w:sz w:val="20"/>
                <w:szCs w:val="20"/>
              </w:rPr>
              <w:t xml:space="preserve"> </w:t>
            </w:r>
          </w:p>
        </w:tc>
      </w:tr>
      <w:tr w:rsidR="00D86A2E" w:rsidRPr="00307753" w14:paraId="7DF789D2" w14:textId="77777777" w:rsidTr="00BF6212">
        <w:trPr>
          <w:trHeight w:val="116"/>
        </w:trPr>
        <w:tc>
          <w:tcPr>
            <w:tcW w:w="3539" w:type="dxa"/>
            <w:shd w:val="clear" w:color="auto" w:fill="BDD6EE" w:themeFill="accent5" w:themeFillTint="66"/>
          </w:tcPr>
          <w:p w14:paraId="1B24E016" w14:textId="77777777" w:rsidR="00D86A2E" w:rsidRPr="00307753" w:rsidRDefault="00D86A2E" w:rsidP="00440398">
            <w:pPr>
              <w:rPr>
                <w:rFonts w:eastAsia="Times New Roman" w:cs="Arial"/>
                <w:color w:val="000000" w:themeColor="text1"/>
                <w:sz w:val="20"/>
                <w:szCs w:val="20"/>
              </w:rPr>
            </w:pPr>
          </w:p>
          <w:p w14:paraId="70B57857" w14:textId="77777777" w:rsidR="00D86A2E" w:rsidRPr="00307753" w:rsidRDefault="00D86A2E" w:rsidP="00440398">
            <w:pPr>
              <w:rPr>
                <w:rFonts w:eastAsia="Times New Roman" w:cs="Arial"/>
                <w:color w:val="000000" w:themeColor="text1"/>
                <w:sz w:val="20"/>
                <w:szCs w:val="20"/>
                <w:vertAlign w:val="superscript"/>
              </w:rPr>
            </w:pPr>
            <w:r w:rsidRPr="00307753">
              <w:rPr>
                <w:rFonts w:eastAsia="Times New Roman" w:cs="Arial"/>
                <w:color w:val="000000" w:themeColor="text1"/>
                <w:sz w:val="20"/>
                <w:szCs w:val="20"/>
              </w:rPr>
              <w:t>Outputs considered in Mock REF’s</w:t>
            </w:r>
            <w:r w:rsidRPr="00307753">
              <w:rPr>
                <w:rFonts w:eastAsia="Times New Roman" w:cs="Arial"/>
                <w:color w:val="000000" w:themeColor="text1"/>
                <w:sz w:val="20"/>
                <w:szCs w:val="20"/>
                <w:vertAlign w:val="superscript"/>
              </w:rPr>
              <w:t>2.3</w:t>
            </w:r>
          </w:p>
          <w:p w14:paraId="7CD6A553" w14:textId="77777777" w:rsidR="00D86A2E" w:rsidRPr="00307753" w:rsidRDefault="00D86A2E" w:rsidP="00440398">
            <w:pPr>
              <w:rPr>
                <w:rFonts w:eastAsia="Times New Roman" w:cs="Arial"/>
                <w:color w:val="000000" w:themeColor="text1"/>
                <w:sz w:val="20"/>
                <w:szCs w:val="20"/>
              </w:rPr>
            </w:pPr>
          </w:p>
        </w:tc>
        <w:tc>
          <w:tcPr>
            <w:tcW w:w="1107" w:type="dxa"/>
            <w:shd w:val="clear" w:color="auto" w:fill="BDD6EE" w:themeFill="accent5" w:themeFillTint="66"/>
          </w:tcPr>
          <w:p w14:paraId="51916DF1" w14:textId="77777777" w:rsidR="00D86A2E" w:rsidRPr="00307753" w:rsidRDefault="00D86A2E" w:rsidP="00440398">
            <w:pPr>
              <w:rPr>
                <w:rFonts w:eastAsia="Times New Roman" w:cs="Arial"/>
                <w:color w:val="000000" w:themeColor="text1"/>
                <w:sz w:val="20"/>
                <w:szCs w:val="20"/>
              </w:rPr>
            </w:pPr>
            <w:r w:rsidRPr="00307753">
              <w:rPr>
                <w:rFonts w:eastAsia="Times New Roman" w:cs="Arial"/>
                <w:color w:val="000000" w:themeColor="text1"/>
                <w:sz w:val="20"/>
                <w:szCs w:val="20"/>
              </w:rPr>
              <w:t>~2500</w:t>
            </w:r>
          </w:p>
        </w:tc>
        <w:tc>
          <w:tcPr>
            <w:tcW w:w="2720" w:type="dxa"/>
            <w:shd w:val="clear" w:color="auto" w:fill="BDD6EE" w:themeFill="accent5" w:themeFillTint="66"/>
          </w:tcPr>
          <w:p w14:paraId="53339C14" w14:textId="77777777" w:rsidR="00D86A2E" w:rsidRPr="00307753" w:rsidRDefault="00D86A2E" w:rsidP="00440398">
            <w:pPr>
              <w:rPr>
                <w:rFonts w:eastAsia="Times New Roman" w:cs="Arial"/>
                <w:color w:val="000000" w:themeColor="text1"/>
                <w:sz w:val="20"/>
                <w:szCs w:val="20"/>
                <w:vertAlign w:val="superscript"/>
              </w:rPr>
            </w:pPr>
            <w:r w:rsidRPr="00307753">
              <w:rPr>
                <w:rFonts w:eastAsia="Times New Roman" w:cs="Arial"/>
                <w:color w:val="000000" w:themeColor="text1"/>
                <w:sz w:val="20"/>
                <w:szCs w:val="20"/>
              </w:rPr>
              <w:t>3%</w:t>
            </w:r>
          </w:p>
        </w:tc>
      </w:tr>
      <w:tr w:rsidR="00D86A2E" w:rsidRPr="00307753" w14:paraId="56B140E1" w14:textId="77777777" w:rsidTr="00BF6212">
        <w:trPr>
          <w:trHeight w:val="371"/>
        </w:trPr>
        <w:tc>
          <w:tcPr>
            <w:tcW w:w="3539" w:type="dxa"/>
            <w:shd w:val="clear" w:color="auto" w:fill="BDD6EE" w:themeFill="accent5" w:themeFillTint="66"/>
          </w:tcPr>
          <w:p w14:paraId="1C6F4656" w14:textId="77777777" w:rsidR="00D86A2E" w:rsidRPr="00307753" w:rsidRDefault="00D86A2E" w:rsidP="00440398">
            <w:pPr>
              <w:rPr>
                <w:rFonts w:eastAsia="Times New Roman" w:cs="Arial"/>
                <w:color w:val="000000" w:themeColor="text1"/>
                <w:sz w:val="20"/>
                <w:szCs w:val="20"/>
              </w:rPr>
            </w:pPr>
            <w:r w:rsidRPr="00307753">
              <w:rPr>
                <w:rFonts w:eastAsia="Times New Roman" w:cs="Arial"/>
                <w:color w:val="000000" w:themeColor="text1"/>
                <w:sz w:val="20"/>
                <w:szCs w:val="20"/>
              </w:rPr>
              <w:t>Outputs currently selected for the output pool</w:t>
            </w:r>
          </w:p>
        </w:tc>
        <w:tc>
          <w:tcPr>
            <w:tcW w:w="1107" w:type="dxa"/>
            <w:shd w:val="clear" w:color="auto" w:fill="BDD6EE" w:themeFill="accent5" w:themeFillTint="66"/>
          </w:tcPr>
          <w:p w14:paraId="73EA0D42" w14:textId="3380486E" w:rsidR="00D86A2E" w:rsidRPr="00307753" w:rsidRDefault="00861F2B" w:rsidP="00440398">
            <w:pPr>
              <w:rPr>
                <w:rFonts w:eastAsia="Times New Roman" w:cs="Arial"/>
                <w:color w:val="000000" w:themeColor="text1"/>
                <w:sz w:val="20"/>
                <w:szCs w:val="20"/>
              </w:rPr>
            </w:pPr>
            <w:r>
              <w:rPr>
                <w:rFonts w:eastAsia="Times New Roman" w:cs="Arial"/>
                <w:color w:val="000000" w:themeColor="text1"/>
                <w:sz w:val="20"/>
                <w:szCs w:val="20"/>
              </w:rPr>
              <w:t>Redacted</w:t>
            </w:r>
          </w:p>
        </w:tc>
        <w:tc>
          <w:tcPr>
            <w:tcW w:w="2720" w:type="dxa"/>
            <w:shd w:val="clear" w:color="auto" w:fill="BDD6EE" w:themeFill="accent5" w:themeFillTint="66"/>
          </w:tcPr>
          <w:p w14:paraId="750B89C5" w14:textId="77777777" w:rsidR="00D86A2E" w:rsidRPr="00307753" w:rsidRDefault="00D86A2E" w:rsidP="00440398">
            <w:pPr>
              <w:rPr>
                <w:rFonts w:eastAsia="Times New Roman" w:cs="Arial"/>
                <w:color w:val="000000" w:themeColor="text1"/>
                <w:sz w:val="20"/>
                <w:szCs w:val="20"/>
              </w:rPr>
            </w:pPr>
            <w:r w:rsidRPr="00307753">
              <w:rPr>
                <w:rFonts w:eastAsia="Times New Roman" w:cs="Arial"/>
                <w:color w:val="000000" w:themeColor="text1"/>
                <w:sz w:val="20"/>
                <w:szCs w:val="20"/>
              </w:rPr>
              <w:t>3%</w:t>
            </w:r>
            <w:r w:rsidRPr="00307753">
              <w:rPr>
                <w:rFonts w:eastAsia="Times New Roman" w:cs="Arial"/>
                <w:color w:val="000000" w:themeColor="text1"/>
                <w:sz w:val="20"/>
                <w:szCs w:val="20"/>
                <w:vertAlign w:val="superscript"/>
              </w:rPr>
              <w:t>2.2</w:t>
            </w:r>
          </w:p>
        </w:tc>
      </w:tr>
    </w:tbl>
    <w:p w14:paraId="6912CA62" w14:textId="77777777" w:rsidR="00D86A2E" w:rsidRPr="00307753" w:rsidRDefault="00D86A2E" w:rsidP="00D86A2E">
      <w:pPr>
        <w:spacing w:before="120" w:after="120"/>
        <w:rPr>
          <w:rFonts w:cs="Arial"/>
          <w:color w:val="000000" w:themeColor="text1"/>
          <w:sz w:val="20"/>
          <w:szCs w:val="20"/>
        </w:rPr>
      </w:pPr>
      <w:r w:rsidRPr="00307753">
        <w:rPr>
          <w:rFonts w:cs="Arial"/>
          <w:color w:val="000000" w:themeColor="text1"/>
          <w:sz w:val="20"/>
          <w:szCs w:val="20"/>
        </w:rPr>
        <w:t>Notes:</w:t>
      </w:r>
    </w:p>
    <w:p w14:paraId="10EAF8DB" w14:textId="77777777" w:rsidR="00D86A2E" w:rsidRPr="00307753" w:rsidRDefault="00D86A2E" w:rsidP="00D86A2E">
      <w:pPr>
        <w:spacing w:before="120" w:after="120"/>
        <w:rPr>
          <w:rFonts w:cs="Arial"/>
          <w:color w:val="000000" w:themeColor="text1"/>
          <w:sz w:val="20"/>
          <w:szCs w:val="20"/>
        </w:rPr>
      </w:pPr>
      <w:r w:rsidRPr="00307753">
        <w:rPr>
          <w:rFonts w:cs="Arial"/>
          <w:color w:val="000000" w:themeColor="text1"/>
          <w:sz w:val="20"/>
          <w:szCs w:val="20"/>
        </w:rPr>
        <w:t xml:space="preserve">2.1 </w:t>
      </w:r>
      <w:r w:rsidRPr="00307753">
        <w:rPr>
          <w:rFonts w:cs="Arial"/>
          <w:sz w:val="20"/>
          <w:szCs w:val="20"/>
        </w:rPr>
        <w:tab/>
      </w:r>
      <w:r w:rsidRPr="00307753">
        <w:rPr>
          <w:rFonts w:cs="Arial"/>
          <w:color w:val="000000" w:themeColor="text1"/>
          <w:sz w:val="20"/>
          <w:szCs w:val="20"/>
        </w:rPr>
        <w:t xml:space="preserve">Only items that are subject to REF2021 Open Access (OA) Policy have a compliance status.   Outputs subject to policy are peer reviewed journal articles </w:t>
      </w:r>
      <w:r w:rsidRPr="00307753">
        <w:rPr>
          <w:rFonts w:cs="Arial"/>
          <w:b/>
          <w:bCs/>
          <w:color w:val="000000" w:themeColor="text1"/>
          <w:sz w:val="20"/>
          <w:szCs w:val="20"/>
        </w:rPr>
        <w:t xml:space="preserve">or </w:t>
      </w:r>
      <w:r w:rsidRPr="00307753">
        <w:rPr>
          <w:rFonts w:cs="Arial"/>
          <w:color w:val="000000" w:themeColor="text1"/>
          <w:sz w:val="20"/>
          <w:szCs w:val="20"/>
        </w:rPr>
        <w:t xml:space="preserve">a peer reviewed conference proceeding with an International Standard Serial Number (ISSN), accepted since April 2016. The submission includes other outputs that are out of scope of the policy, by date (prior to April 2016) or by output type (books, commissioned reports, non-textual forms </w:t>
      </w:r>
      <w:proofErr w:type="spellStart"/>
      <w:r w:rsidRPr="00307753">
        <w:rPr>
          <w:rFonts w:cs="Arial"/>
          <w:color w:val="000000" w:themeColor="text1"/>
          <w:sz w:val="20"/>
          <w:szCs w:val="20"/>
        </w:rPr>
        <w:t>etc</w:t>
      </w:r>
      <w:proofErr w:type="spellEnd"/>
      <w:r w:rsidRPr="00307753">
        <w:rPr>
          <w:rFonts w:cs="Arial"/>
          <w:color w:val="000000" w:themeColor="text1"/>
          <w:sz w:val="20"/>
          <w:szCs w:val="20"/>
        </w:rPr>
        <w:t xml:space="preserve">). These compliance rates are calculated by considering the number of outputs that are </w:t>
      </w:r>
      <w:r w:rsidRPr="00307753">
        <w:rPr>
          <w:rFonts w:cs="Arial"/>
          <w:i/>
          <w:iCs/>
          <w:color w:val="000000" w:themeColor="text1"/>
          <w:sz w:val="20"/>
          <w:szCs w:val="20"/>
        </w:rPr>
        <w:t>not compliant</w:t>
      </w:r>
      <w:r w:rsidRPr="00307753">
        <w:rPr>
          <w:rFonts w:cs="Arial"/>
          <w:color w:val="000000" w:themeColor="text1"/>
          <w:sz w:val="20"/>
          <w:szCs w:val="20"/>
        </w:rPr>
        <w:t xml:space="preserve"> as a percentage of all outputs (within and without the scope of the policy).  </w:t>
      </w:r>
    </w:p>
    <w:p w14:paraId="2159A893" w14:textId="5575668D" w:rsidR="00D86A2E" w:rsidRPr="00307753" w:rsidRDefault="00D86A2E" w:rsidP="00D86A2E">
      <w:pPr>
        <w:spacing w:before="120" w:after="120"/>
        <w:rPr>
          <w:rFonts w:cs="Arial"/>
          <w:color w:val="000000" w:themeColor="text1"/>
          <w:sz w:val="20"/>
          <w:szCs w:val="20"/>
        </w:rPr>
      </w:pPr>
      <w:r w:rsidRPr="00307753">
        <w:rPr>
          <w:rFonts w:cs="Arial"/>
          <w:color w:val="000000" w:themeColor="text1"/>
          <w:sz w:val="20"/>
          <w:szCs w:val="20"/>
        </w:rPr>
        <w:t>2.2</w:t>
      </w:r>
      <w:r w:rsidRPr="00307753">
        <w:rPr>
          <w:rFonts w:cs="Arial"/>
          <w:color w:val="000000" w:themeColor="text1"/>
          <w:sz w:val="20"/>
          <w:szCs w:val="20"/>
        </w:rPr>
        <w:tab/>
        <w:t xml:space="preserve">REF2021 Open Access Policy allow for up to 5% of </w:t>
      </w:r>
      <w:r w:rsidR="007526D5" w:rsidRPr="00307753">
        <w:rPr>
          <w:rFonts w:cs="Arial"/>
          <w:color w:val="000000" w:themeColor="text1"/>
          <w:sz w:val="20"/>
          <w:szCs w:val="20"/>
        </w:rPr>
        <w:t xml:space="preserve">submitted </w:t>
      </w:r>
      <w:r w:rsidRPr="00307753">
        <w:rPr>
          <w:rFonts w:cs="Arial"/>
          <w:color w:val="000000" w:themeColor="text1"/>
          <w:sz w:val="20"/>
          <w:szCs w:val="20"/>
        </w:rPr>
        <w:t xml:space="preserve">outputs </w:t>
      </w:r>
      <w:r w:rsidR="007526D5">
        <w:rPr>
          <w:rFonts w:cs="Arial"/>
          <w:color w:val="000000" w:themeColor="text1"/>
          <w:sz w:val="20"/>
          <w:szCs w:val="20"/>
        </w:rPr>
        <w:t>(</w:t>
      </w:r>
      <w:r w:rsidR="00F450E3">
        <w:rPr>
          <w:rFonts w:cs="Arial"/>
          <w:color w:val="000000" w:themeColor="text1"/>
          <w:sz w:val="20"/>
          <w:szCs w:val="20"/>
        </w:rPr>
        <w:t>in scope of the policy</w:t>
      </w:r>
      <w:r w:rsidR="007526D5">
        <w:rPr>
          <w:rFonts w:cs="Arial"/>
          <w:color w:val="000000" w:themeColor="text1"/>
          <w:sz w:val="20"/>
          <w:szCs w:val="20"/>
        </w:rPr>
        <w:t>)</w:t>
      </w:r>
      <w:r w:rsidR="00F450E3">
        <w:rPr>
          <w:rFonts w:cs="Arial"/>
          <w:color w:val="000000" w:themeColor="text1"/>
          <w:sz w:val="20"/>
          <w:szCs w:val="20"/>
        </w:rPr>
        <w:t xml:space="preserve"> </w:t>
      </w:r>
      <w:r w:rsidRPr="00307753">
        <w:rPr>
          <w:rFonts w:cs="Arial"/>
          <w:color w:val="000000" w:themeColor="text1"/>
          <w:sz w:val="20"/>
          <w:szCs w:val="20"/>
        </w:rPr>
        <w:t xml:space="preserve">to be non-complaint (per Unit of Assessment).  </w:t>
      </w:r>
    </w:p>
    <w:p w14:paraId="48BF4664" w14:textId="1515DC72" w:rsidR="00AA6E89" w:rsidRDefault="00AA6E89">
      <w:pPr>
        <w:rPr>
          <w:rFonts w:eastAsia="Calibri" w:cs="Calibri"/>
        </w:rPr>
      </w:pPr>
      <w:r>
        <w:rPr>
          <w:rFonts w:eastAsia="Calibri" w:cs="Calibri"/>
        </w:rPr>
        <w:br w:type="page"/>
      </w:r>
    </w:p>
    <w:p w14:paraId="60B14CEF" w14:textId="1BE69AE8" w:rsidR="00C05BCC" w:rsidRPr="00307753" w:rsidRDefault="00C05BCC" w:rsidP="00C05BCC">
      <w:pPr>
        <w:pStyle w:val="Heading1"/>
        <w:rPr>
          <w:rFonts w:asciiTheme="minorHAnsi" w:eastAsia="Calibri" w:hAnsiTheme="minorHAnsi"/>
        </w:rPr>
      </w:pPr>
      <w:bookmarkStart w:id="26" w:name="_Appendix_H_Field"/>
      <w:bookmarkStart w:id="27" w:name="_Toc65071803"/>
      <w:bookmarkEnd w:id="26"/>
      <w:r w:rsidRPr="00C05BCC">
        <w:rPr>
          <w:rFonts w:eastAsia="Calibri" w:cs="Calibri"/>
        </w:rPr>
        <w:lastRenderedPageBreak/>
        <w:t xml:space="preserve">Appendix G </w:t>
      </w:r>
      <w:r>
        <w:rPr>
          <w:rFonts w:eastAsia="Calibri" w:cs="Calibri"/>
        </w:rPr>
        <w:tab/>
      </w:r>
      <w:r w:rsidRPr="00C05BCC">
        <w:rPr>
          <w:rFonts w:eastAsia="Calibri" w:cs="Calibri"/>
        </w:rPr>
        <w:t>RCUK open access return 2016</w:t>
      </w:r>
      <w:bookmarkEnd w:id="27"/>
    </w:p>
    <w:p w14:paraId="5154135A" w14:textId="06E466A3" w:rsidR="00C05BCC" w:rsidRDefault="0006699F" w:rsidP="00C05BCC">
      <w:hyperlink r:id="rId37" w:history="1">
        <w:r w:rsidR="00C05BCC" w:rsidRPr="00280F01">
          <w:rPr>
            <w:rStyle w:val="Hyperlink"/>
          </w:rPr>
          <w:t>https://uhra.herts.ac.uk/handle/2299/17253</w:t>
        </w:r>
      </w:hyperlink>
      <w:r w:rsidR="00C05BCC">
        <w:t xml:space="preserve"> </w:t>
      </w:r>
    </w:p>
    <w:p w14:paraId="756C8EDB" w14:textId="77777777" w:rsidR="00C05BCC" w:rsidRDefault="00C05BCC" w:rsidP="00AA6E89">
      <w:pPr>
        <w:pStyle w:val="Heading1"/>
        <w:rPr>
          <w:rFonts w:asciiTheme="minorHAnsi" w:eastAsia="Calibri" w:hAnsiTheme="minorHAnsi"/>
        </w:rPr>
      </w:pPr>
    </w:p>
    <w:p w14:paraId="2E951257" w14:textId="0DD8EB88" w:rsidR="00664897" w:rsidRPr="00664897" w:rsidRDefault="00AA6E89" w:rsidP="00664897">
      <w:pPr>
        <w:pStyle w:val="Heading1"/>
      </w:pPr>
      <w:bookmarkStart w:id="28" w:name="_Toc65071804"/>
      <w:r w:rsidRPr="0053014F">
        <w:t xml:space="preserve">Appendix H </w:t>
      </w:r>
      <w:r w:rsidR="00C05BCC" w:rsidRPr="0053014F">
        <w:tab/>
      </w:r>
      <w:r w:rsidR="00554ED6" w:rsidRPr="0053014F">
        <w:t>Specimen</w:t>
      </w:r>
      <w:r w:rsidR="0053014F" w:rsidRPr="0053014F">
        <w:t xml:space="preserve"> </w:t>
      </w:r>
      <w:r w:rsidRPr="0053014F">
        <w:t xml:space="preserve">Open Access </w:t>
      </w:r>
      <w:r w:rsidR="00664897">
        <w:t>m</w:t>
      </w:r>
      <w:r w:rsidR="00085587" w:rsidRPr="0053014F">
        <w:t>etrics</w:t>
      </w:r>
      <w:r w:rsidR="00664897">
        <w:t xml:space="preserve"> report</w:t>
      </w:r>
      <w:bookmarkEnd w:id="28"/>
    </w:p>
    <w:p w14:paraId="10C24EE3" w14:textId="66C097D1" w:rsidR="00BA74ED" w:rsidRDefault="0053014F" w:rsidP="007A47F8">
      <w:pPr>
        <w:spacing w:before="120" w:after="120"/>
        <w:rPr>
          <w:rFonts w:eastAsia="Calibri" w:cs="Calibri"/>
        </w:rPr>
      </w:pPr>
      <w:r>
        <w:rPr>
          <w:rFonts w:eastAsia="Calibri" w:cs="Calibri"/>
        </w:rPr>
        <w:t>Specimen</w:t>
      </w:r>
      <w:r w:rsidR="00AA6E89">
        <w:rPr>
          <w:rFonts w:eastAsia="Calibri" w:cs="Calibri"/>
        </w:rPr>
        <w:t xml:space="preserve"> </w:t>
      </w:r>
      <w:r w:rsidR="00C37987">
        <w:rPr>
          <w:rFonts w:eastAsia="Calibri" w:cs="Calibri"/>
        </w:rPr>
        <w:t>from Research Metrics report</w:t>
      </w:r>
      <w:r w:rsidR="00CB1A24">
        <w:rPr>
          <w:rFonts w:eastAsia="Calibri" w:cs="Calibri"/>
        </w:rPr>
        <w:t xml:space="preserve"> </w:t>
      </w:r>
      <w:r w:rsidR="003C7C71">
        <w:rPr>
          <w:rFonts w:eastAsia="Calibri" w:cs="Calibri"/>
        </w:rPr>
        <w:t xml:space="preserve">for </w:t>
      </w:r>
      <w:r w:rsidR="003C7C71" w:rsidRPr="00307753">
        <w:rPr>
          <w:rFonts w:eastAsia="Calibri" w:cs="Calibri"/>
        </w:rPr>
        <w:t>Pro Vice-Chancellor's Research Management Group</w:t>
      </w:r>
      <w:r w:rsidR="00085587">
        <w:rPr>
          <w:rFonts w:eastAsia="Calibri" w:cs="Calibri"/>
        </w:rPr>
        <w:t xml:space="preserve"> showing </w:t>
      </w:r>
      <w:r w:rsidR="00BA74ED">
        <w:t xml:space="preserve">Field Weighted Citation Impact vs. Open Access type for UH </w:t>
      </w:r>
      <w:r w:rsidR="00085587">
        <w:t xml:space="preserve">articles 2014 - 2018 </w:t>
      </w:r>
    </w:p>
    <w:p w14:paraId="3636265A" w14:textId="2596CC71" w:rsidR="00AA6E89" w:rsidRPr="00307753" w:rsidRDefault="00CA4A83" w:rsidP="007A47F8">
      <w:pPr>
        <w:spacing w:before="120" w:after="120"/>
        <w:rPr>
          <w:rFonts w:eastAsia="Calibri" w:cs="Calibri"/>
        </w:rPr>
      </w:pPr>
      <w:r>
        <w:rPr>
          <w:rFonts w:eastAsia="Calibri" w:cs="Calibri"/>
          <w:noProof/>
        </w:rPr>
        <w:drawing>
          <wp:inline distT="0" distB="0" distL="0" distR="0" wp14:anchorId="252DCEA4" wp14:editId="6A0AB36F">
            <wp:extent cx="5943600" cy="5394325"/>
            <wp:effectExtent l="0" t="0" r="0" b="3175"/>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line chart&#10;&#10;Description automatically generated"/>
                    <pic:cNvPicPr/>
                  </pic:nvPicPr>
                  <pic:blipFill>
                    <a:blip r:embed="rId38">
                      <a:extLst>
                        <a:ext uri="{28A0092B-C50C-407E-A947-70E740481C1C}">
                          <a14:useLocalDpi xmlns:a14="http://schemas.microsoft.com/office/drawing/2010/main" val="0"/>
                        </a:ext>
                      </a:extLst>
                    </a:blip>
                    <a:stretch>
                      <a:fillRect/>
                    </a:stretch>
                  </pic:blipFill>
                  <pic:spPr>
                    <a:xfrm>
                      <a:off x="0" y="0"/>
                      <a:ext cx="5943600" cy="5394325"/>
                    </a:xfrm>
                    <a:prstGeom prst="rect">
                      <a:avLst/>
                    </a:prstGeom>
                  </pic:spPr>
                </pic:pic>
              </a:graphicData>
            </a:graphic>
          </wp:inline>
        </w:drawing>
      </w:r>
    </w:p>
    <w:sectPr w:rsidR="00AA6E89" w:rsidRPr="00307753" w:rsidSect="002B21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D6991" w14:textId="77777777" w:rsidR="0006699F" w:rsidRDefault="0006699F" w:rsidP="001F60C1">
      <w:pPr>
        <w:spacing w:after="0" w:line="240" w:lineRule="auto"/>
      </w:pPr>
      <w:r>
        <w:separator/>
      </w:r>
    </w:p>
  </w:endnote>
  <w:endnote w:type="continuationSeparator" w:id="0">
    <w:p w14:paraId="46F6DB19" w14:textId="77777777" w:rsidR="0006699F" w:rsidRDefault="0006699F" w:rsidP="001F6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52464644"/>
      <w:docPartObj>
        <w:docPartGallery w:val="Page Numbers (Bottom of Page)"/>
        <w:docPartUnique/>
      </w:docPartObj>
    </w:sdtPr>
    <w:sdtEndPr>
      <w:rPr>
        <w:rStyle w:val="PageNumber"/>
      </w:rPr>
    </w:sdtEndPr>
    <w:sdtContent>
      <w:p w14:paraId="5DE68216" w14:textId="3CC03191" w:rsidR="002B21D6" w:rsidRDefault="002B21D6" w:rsidP="00C05A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5A4F3C" w14:textId="77777777" w:rsidR="002B21D6" w:rsidRDefault="002B21D6" w:rsidP="002B21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51755198"/>
      <w:docPartObj>
        <w:docPartGallery w:val="Page Numbers (Bottom of Page)"/>
        <w:docPartUnique/>
      </w:docPartObj>
    </w:sdtPr>
    <w:sdtEndPr>
      <w:rPr>
        <w:rStyle w:val="PageNumber"/>
      </w:rPr>
    </w:sdtEndPr>
    <w:sdtContent>
      <w:p w14:paraId="09DE55E1" w14:textId="41FE1C1F" w:rsidR="00C05A8A" w:rsidRDefault="00C05A8A" w:rsidP="00280F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77E5DC8" w14:textId="4AEC42C1" w:rsidR="002B21D6" w:rsidRDefault="003803C2" w:rsidP="003803C2">
    <w:pPr>
      <w:pStyle w:val="Footer"/>
      <w:tabs>
        <w:tab w:val="clear" w:pos="4513"/>
        <w:tab w:val="clear" w:pos="9026"/>
        <w:tab w:val="left" w:pos="2368"/>
      </w:tabs>
      <w:ind w:right="36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C7054" w14:textId="2DAD88FF" w:rsidR="0096240D" w:rsidRDefault="0096240D" w:rsidP="0096240D">
    <w:pPr>
      <w:pStyle w:val="Footer"/>
      <w:framePr w:wrap="none" w:vAnchor="text" w:hAnchor="margin" w:xAlign="right" w:y="1"/>
      <w:jc w:val="right"/>
      <w:rPr>
        <w:rStyle w:val="PageNumber"/>
      </w:rPr>
    </w:pPr>
  </w:p>
  <w:p w14:paraId="025994A4" w14:textId="4798A311" w:rsidR="0096240D" w:rsidRDefault="0096240D" w:rsidP="0096240D">
    <w:pPr>
      <w:pStyle w:val="Footer"/>
      <w:framePr w:wrap="none" w:vAnchor="text" w:hAnchor="margin" w:xAlign="right" w:y="1"/>
      <w:ind w:right="360"/>
    </w:pPr>
  </w:p>
  <w:p w14:paraId="2FD4DDAD" w14:textId="62619D68" w:rsidR="001146F2" w:rsidRPr="00413F98" w:rsidRDefault="00413F98" w:rsidP="0096240D">
    <w:pPr>
      <w:pStyle w:val="Footer"/>
      <w:ind w:right="360"/>
      <w:jc w:val="right"/>
      <w:rPr>
        <w:lang w:val="en-GB"/>
      </w:rPr>
    </w:pPr>
    <w:r>
      <w:rPr>
        <w:lang w:val="en-GB"/>
      </w:rPr>
      <w:t xml:space="preserve"> </w:t>
    </w:r>
    <w:r w:rsidR="00D00DED">
      <w:rPr>
        <w:lang w:val="en-GB"/>
      </w:rPr>
      <w:softHyphen/>
    </w:r>
    <w:r w:rsidR="00D00DED">
      <w:rPr>
        <w:lang w:val="en-GB"/>
      </w:rPr>
      <w:softHyphen/>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60815485"/>
      <w:docPartObj>
        <w:docPartGallery w:val="Page Numbers (Bottom of Page)"/>
        <w:docPartUnique/>
      </w:docPartObj>
    </w:sdtPr>
    <w:sdtEndPr>
      <w:rPr>
        <w:rStyle w:val="PageNumber"/>
      </w:rPr>
    </w:sdtEndPr>
    <w:sdtContent>
      <w:p w14:paraId="5BD3125A" w14:textId="5009CBE9" w:rsidR="00D00DED" w:rsidRDefault="00D00DED" w:rsidP="00280F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0EFF4B1" w14:textId="5DD50F11" w:rsidR="00D00DED" w:rsidRPr="00413F98" w:rsidRDefault="00D00DED" w:rsidP="0096240D">
    <w:pPr>
      <w:pStyle w:val="Footer"/>
      <w:ind w:right="360"/>
      <w:jc w:val="righ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28FC6" w14:textId="77777777" w:rsidR="0006699F" w:rsidRDefault="0006699F" w:rsidP="001F60C1">
      <w:pPr>
        <w:spacing w:after="0" w:line="240" w:lineRule="auto"/>
      </w:pPr>
      <w:r>
        <w:separator/>
      </w:r>
    </w:p>
  </w:footnote>
  <w:footnote w:type="continuationSeparator" w:id="0">
    <w:p w14:paraId="57DC92FD" w14:textId="77777777" w:rsidR="0006699F" w:rsidRDefault="0006699F" w:rsidP="001F6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FAFA3" w14:textId="7BB55F8A" w:rsidR="002B21D6" w:rsidRPr="00E415B6" w:rsidRDefault="002B21D6" w:rsidP="002B21D6">
    <w:pPr>
      <w:pStyle w:val="Heading1"/>
      <w:rPr>
        <w:sz w:val="16"/>
        <w:szCs w:val="16"/>
      </w:rPr>
    </w:pPr>
    <w:r w:rsidRPr="00E415B6">
      <w:rPr>
        <w:sz w:val="16"/>
        <w:szCs w:val="16"/>
      </w:rPr>
      <w:t>Framework for Open Access (OA</w:t>
    </w:r>
    <w:proofErr w:type="gramStart"/>
    <w:r w:rsidRPr="00E415B6">
      <w:rPr>
        <w:sz w:val="16"/>
        <w:szCs w:val="16"/>
      </w:rPr>
      <w:t xml:space="preserve">) </w:t>
    </w:r>
    <w:r w:rsidR="00E415B6">
      <w:rPr>
        <w:sz w:val="16"/>
        <w:szCs w:val="16"/>
      </w:rPr>
      <w:t>,</w:t>
    </w:r>
    <w:proofErr w:type="gramEnd"/>
    <w:r w:rsidR="00E415B6">
      <w:rPr>
        <w:sz w:val="16"/>
        <w:szCs w:val="16"/>
      </w:rPr>
      <w:t xml:space="preserve"> v</w:t>
    </w:r>
    <w:r w:rsidR="00A85574">
      <w:rPr>
        <w:sz w:val="16"/>
        <w:szCs w:val="16"/>
      </w:rPr>
      <w:t>4</w:t>
    </w:r>
    <w:r w:rsidR="00E415B6">
      <w:rPr>
        <w:sz w:val="16"/>
        <w:szCs w:val="16"/>
      </w:rPr>
      <w:t xml:space="preserve">, </w:t>
    </w:r>
    <w:r w:rsidR="00A85574">
      <w:rPr>
        <w:sz w:val="16"/>
        <w:szCs w:val="16"/>
      </w:rPr>
      <w:t xml:space="preserve">March </w:t>
    </w:r>
    <w:r w:rsidR="00E415B6">
      <w:rPr>
        <w:sz w:val="16"/>
        <w:szCs w:val="16"/>
      </w:rPr>
      <w:t xml:space="preserve"> 20</w:t>
    </w:r>
    <w:r w:rsidR="00986108">
      <w:rPr>
        <w:sz w:val="16"/>
        <w:szCs w:val="16"/>
      </w:rPr>
      <w:t>21</w:t>
    </w:r>
  </w:p>
  <w:p w14:paraId="6C1DF16D" w14:textId="710902A7" w:rsidR="001F60C1" w:rsidRPr="001F60C1" w:rsidRDefault="001F60C1">
    <w:pPr>
      <w:pStyle w:val="Header"/>
      <w:rPr>
        <w:i/>
        <w:iCs/>
      </w:rPr>
    </w:pPr>
    <w:r>
      <w:rPr>
        <w:i/>
        <w:iCs/>
      </w:rPr>
      <w:tab/>
    </w:r>
    <w:r>
      <w:rPr>
        <w:i/>
        <w:iCs/>
      </w:rPr>
      <w:tab/>
    </w:r>
  </w:p>
  <w:p w14:paraId="0FBC79C4" w14:textId="77777777" w:rsidR="001F60C1" w:rsidRDefault="001F60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500D5" w14:textId="7EE90BF9" w:rsidR="00DC2F9B" w:rsidRPr="00E415B6" w:rsidRDefault="00DC2F9B" w:rsidP="00DC2F9B">
    <w:pPr>
      <w:pStyle w:val="Heading1"/>
      <w:rPr>
        <w:sz w:val="16"/>
        <w:szCs w:val="16"/>
      </w:rPr>
    </w:pPr>
    <w:r w:rsidRPr="00E415B6">
      <w:rPr>
        <w:sz w:val="16"/>
        <w:szCs w:val="16"/>
      </w:rPr>
      <w:t>Framework for Open Access (OA</w:t>
    </w:r>
    <w:proofErr w:type="gramStart"/>
    <w:r w:rsidRPr="00E415B6">
      <w:rPr>
        <w:sz w:val="16"/>
        <w:szCs w:val="16"/>
      </w:rPr>
      <w:t xml:space="preserve">) </w:t>
    </w:r>
    <w:r>
      <w:rPr>
        <w:sz w:val="16"/>
        <w:szCs w:val="16"/>
      </w:rPr>
      <w:t>,</w:t>
    </w:r>
    <w:proofErr w:type="gramEnd"/>
    <w:r>
      <w:rPr>
        <w:sz w:val="16"/>
        <w:szCs w:val="16"/>
      </w:rPr>
      <w:t xml:space="preserve"> v</w:t>
    </w:r>
    <w:r w:rsidR="00AE45A7">
      <w:rPr>
        <w:sz w:val="16"/>
        <w:szCs w:val="16"/>
      </w:rPr>
      <w:t>4</w:t>
    </w:r>
    <w:r>
      <w:rPr>
        <w:sz w:val="16"/>
        <w:szCs w:val="16"/>
      </w:rPr>
      <w:t xml:space="preserve">, </w:t>
    </w:r>
    <w:r w:rsidR="00AE45A7">
      <w:rPr>
        <w:sz w:val="16"/>
        <w:szCs w:val="16"/>
      </w:rPr>
      <w:t>March</w:t>
    </w:r>
    <w:r>
      <w:rPr>
        <w:sz w:val="16"/>
        <w:szCs w:val="16"/>
      </w:rPr>
      <w:t xml:space="preserve"> 2021</w:t>
    </w:r>
  </w:p>
  <w:p w14:paraId="36F80E91" w14:textId="77777777" w:rsidR="00DC2F9B" w:rsidRDefault="00DC2F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53BE3"/>
    <w:multiLevelType w:val="hybridMultilevel"/>
    <w:tmpl w:val="59462970"/>
    <w:lvl w:ilvl="0" w:tplc="F4DE8EDA">
      <w:start w:val="1"/>
      <w:numFmt w:val="decimal"/>
      <w:lvlText w:val="%1."/>
      <w:lvlJc w:val="left"/>
      <w:pPr>
        <w:ind w:left="720" w:hanging="360"/>
      </w:pPr>
    </w:lvl>
    <w:lvl w:ilvl="1" w:tplc="DC32E62A">
      <w:start w:val="1"/>
      <w:numFmt w:val="lowerLetter"/>
      <w:lvlText w:val="%2."/>
      <w:lvlJc w:val="left"/>
      <w:pPr>
        <w:ind w:left="1440" w:hanging="360"/>
      </w:pPr>
    </w:lvl>
    <w:lvl w:ilvl="2" w:tplc="9A4822D6">
      <w:start w:val="1"/>
      <w:numFmt w:val="lowerRoman"/>
      <w:lvlText w:val="%3."/>
      <w:lvlJc w:val="right"/>
      <w:pPr>
        <w:ind w:left="2160" w:hanging="180"/>
      </w:pPr>
    </w:lvl>
    <w:lvl w:ilvl="3" w:tplc="BE58F0FE">
      <w:start w:val="1"/>
      <w:numFmt w:val="decimal"/>
      <w:lvlText w:val="%4."/>
      <w:lvlJc w:val="left"/>
      <w:pPr>
        <w:ind w:left="2880" w:hanging="360"/>
      </w:pPr>
    </w:lvl>
    <w:lvl w:ilvl="4" w:tplc="01C063D6">
      <w:start w:val="1"/>
      <w:numFmt w:val="lowerLetter"/>
      <w:lvlText w:val="%5."/>
      <w:lvlJc w:val="left"/>
      <w:pPr>
        <w:ind w:left="3600" w:hanging="360"/>
      </w:pPr>
    </w:lvl>
    <w:lvl w:ilvl="5" w:tplc="8A5A07CC">
      <w:start w:val="1"/>
      <w:numFmt w:val="lowerRoman"/>
      <w:lvlText w:val="%6."/>
      <w:lvlJc w:val="right"/>
      <w:pPr>
        <w:ind w:left="4320" w:hanging="180"/>
      </w:pPr>
    </w:lvl>
    <w:lvl w:ilvl="6" w:tplc="978A261A">
      <w:start w:val="1"/>
      <w:numFmt w:val="decimal"/>
      <w:lvlText w:val="%7."/>
      <w:lvlJc w:val="left"/>
      <w:pPr>
        <w:ind w:left="5040" w:hanging="360"/>
      </w:pPr>
    </w:lvl>
    <w:lvl w:ilvl="7" w:tplc="3F5E7C1C">
      <w:start w:val="1"/>
      <w:numFmt w:val="lowerLetter"/>
      <w:lvlText w:val="%8."/>
      <w:lvlJc w:val="left"/>
      <w:pPr>
        <w:ind w:left="5760" w:hanging="360"/>
      </w:pPr>
    </w:lvl>
    <w:lvl w:ilvl="8" w:tplc="BD2CBAAA">
      <w:start w:val="1"/>
      <w:numFmt w:val="lowerRoman"/>
      <w:lvlText w:val="%9."/>
      <w:lvlJc w:val="right"/>
      <w:pPr>
        <w:ind w:left="6480" w:hanging="180"/>
      </w:pPr>
    </w:lvl>
  </w:abstractNum>
  <w:abstractNum w:abstractNumId="1" w15:restartNumberingAfterBreak="0">
    <w:nsid w:val="0750329E"/>
    <w:multiLevelType w:val="hybridMultilevel"/>
    <w:tmpl w:val="322E5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924F0"/>
    <w:multiLevelType w:val="hybridMultilevel"/>
    <w:tmpl w:val="5AFE3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51465"/>
    <w:multiLevelType w:val="hybridMultilevel"/>
    <w:tmpl w:val="1E9209B8"/>
    <w:lvl w:ilvl="0" w:tplc="2EDE4572">
      <w:start w:val="1"/>
      <w:numFmt w:val="bullet"/>
      <w:lvlText w:val=""/>
      <w:lvlJc w:val="left"/>
      <w:pPr>
        <w:ind w:left="720" w:hanging="360"/>
      </w:pPr>
      <w:rPr>
        <w:rFonts w:ascii="Symbol" w:hAnsi="Symbol" w:hint="default"/>
      </w:rPr>
    </w:lvl>
    <w:lvl w:ilvl="1" w:tplc="9086FD12">
      <w:start w:val="1"/>
      <w:numFmt w:val="bullet"/>
      <w:lvlText w:val="o"/>
      <w:lvlJc w:val="left"/>
      <w:pPr>
        <w:ind w:left="1440" w:hanging="360"/>
      </w:pPr>
      <w:rPr>
        <w:rFonts w:ascii="Courier New" w:hAnsi="Courier New" w:hint="default"/>
      </w:rPr>
    </w:lvl>
    <w:lvl w:ilvl="2" w:tplc="242E690A">
      <w:start w:val="1"/>
      <w:numFmt w:val="bullet"/>
      <w:lvlText w:val=""/>
      <w:lvlJc w:val="left"/>
      <w:pPr>
        <w:ind w:left="2160" w:hanging="360"/>
      </w:pPr>
      <w:rPr>
        <w:rFonts w:ascii="Wingdings" w:hAnsi="Wingdings" w:hint="default"/>
      </w:rPr>
    </w:lvl>
    <w:lvl w:ilvl="3" w:tplc="03F89170">
      <w:start w:val="1"/>
      <w:numFmt w:val="bullet"/>
      <w:lvlText w:val=""/>
      <w:lvlJc w:val="left"/>
      <w:pPr>
        <w:ind w:left="2880" w:hanging="360"/>
      </w:pPr>
      <w:rPr>
        <w:rFonts w:ascii="Symbol" w:hAnsi="Symbol" w:hint="default"/>
      </w:rPr>
    </w:lvl>
    <w:lvl w:ilvl="4" w:tplc="12E8CB54">
      <w:start w:val="1"/>
      <w:numFmt w:val="bullet"/>
      <w:lvlText w:val="o"/>
      <w:lvlJc w:val="left"/>
      <w:pPr>
        <w:ind w:left="3600" w:hanging="360"/>
      </w:pPr>
      <w:rPr>
        <w:rFonts w:ascii="Courier New" w:hAnsi="Courier New" w:hint="default"/>
      </w:rPr>
    </w:lvl>
    <w:lvl w:ilvl="5" w:tplc="0406CB06">
      <w:start w:val="1"/>
      <w:numFmt w:val="bullet"/>
      <w:lvlText w:val=""/>
      <w:lvlJc w:val="left"/>
      <w:pPr>
        <w:ind w:left="4320" w:hanging="360"/>
      </w:pPr>
      <w:rPr>
        <w:rFonts w:ascii="Wingdings" w:hAnsi="Wingdings" w:hint="default"/>
      </w:rPr>
    </w:lvl>
    <w:lvl w:ilvl="6" w:tplc="281E6366">
      <w:start w:val="1"/>
      <w:numFmt w:val="bullet"/>
      <w:lvlText w:val=""/>
      <w:lvlJc w:val="left"/>
      <w:pPr>
        <w:ind w:left="5040" w:hanging="360"/>
      </w:pPr>
      <w:rPr>
        <w:rFonts w:ascii="Symbol" w:hAnsi="Symbol" w:hint="default"/>
      </w:rPr>
    </w:lvl>
    <w:lvl w:ilvl="7" w:tplc="D04A2EF0">
      <w:start w:val="1"/>
      <w:numFmt w:val="bullet"/>
      <w:lvlText w:val="o"/>
      <w:lvlJc w:val="left"/>
      <w:pPr>
        <w:ind w:left="5760" w:hanging="360"/>
      </w:pPr>
      <w:rPr>
        <w:rFonts w:ascii="Courier New" w:hAnsi="Courier New" w:hint="default"/>
      </w:rPr>
    </w:lvl>
    <w:lvl w:ilvl="8" w:tplc="FD14ABA8">
      <w:start w:val="1"/>
      <w:numFmt w:val="bullet"/>
      <w:lvlText w:val=""/>
      <w:lvlJc w:val="left"/>
      <w:pPr>
        <w:ind w:left="6480" w:hanging="360"/>
      </w:pPr>
      <w:rPr>
        <w:rFonts w:ascii="Wingdings" w:hAnsi="Wingdings" w:hint="default"/>
      </w:rPr>
    </w:lvl>
  </w:abstractNum>
  <w:abstractNum w:abstractNumId="4" w15:restartNumberingAfterBreak="0">
    <w:nsid w:val="28993718"/>
    <w:multiLevelType w:val="hybridMultilevel"/>
    <w:tmpl w:val="A694E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496489"/>
    <w:multiLevelType w:val="multilevel"/>
    <w:tmpl w:val="4358E97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C95631A"/>
    <w:multiLevelType w:val="hybridMultilevel"/>
    <w:tmpl w:val="2D660158"/>
    <w:lvl w:ilvl="0" w:tplc="C7BA9EDE">
      <w:start w:val="1"/>
      <w:numFmt w:val="decimal"/>
      <w:lvlText w:val="%1."/>
      <w:lvlJc w:val="left"/>
      <w:pPr>
        <w:ind w:left="360" w:hanging="360"/>
      </w:pPr>
    </w:lvl>
    <w:lvl w:ilvl="1" w:tplc="25720670">
      <w:start w:val="1"/>
      <w:numFmt w:val="lowerLetter"/>
      <w:lvlText w:val="%2."/>
      <w:lvlJc w:val="left"/>
      <w:pPr>
        <w:ind w:left="1080" w:hanging="360"/>
      </w:pPr>
    </w:lvl>
    <w:lvl w:ilvl="2" w:tplc="41BE6AB8">
      <w:start w:val="1"/>
      <w:numFmt w:val="lowerRoman"/>
      <w:lvlText w:val="%3."/>
      <w:lvlJc w:val="right"/>
      <w:pPr>
        <w:ind w:left="1800" w:hanging="180"/>
      </w:pPr>
    </w:lvl>
    <w:lvl w:ilvl="3" w:tplc="75886E94">
      <w:start w:val="1"/>
      <w:numFmt w:val="decimal"/>
      <w:lvlText w:val="%4."/>
      <w:lvlJc w:val="left"/>
      <w:pPr>
        <w:ind w:left="2520" w:hanging="360"/>
      </w:pPr>
    </w:lvl>
    <w:lvl w:ilvl="4" w:tplc="C55A9C5C">
      <w:start w:val="1"/>
      <w:numFmt w:val="lowerLetter"/>
      <w:lvlText w:val="%5."/>
      <w:lvlJc w:val="left"/>
      <w:pPr>
        <w:ind w:left="3240" w:hanging="360"/>
      </w:pPr>
    </w:lvl>
    <w:lvl w:ilvl="5" w:tplc="0B9241D0">
      <w:start w:val="1"/>
      <w:numFmt w:val="lowerRoman"/>
      <w:lvlText w:val="%6."/>
      <w:lvlJc w:val="right"/>
      <w:pPr>
        <w:ind w:left="3960" w:hanging="180"/>
      </w:pPr>
    </w:lvl>
    <w:lvl w:ilvl="6" w:tplc="415493C2">
      <w:start w:val="1"/>
      <w:numFmt w:val="decimal"/>
      <w:lvlText w:val="%7."/>
      <w:lvlJc w:val="left"/>
      <w:pPr>
        <w:ind w:left="4680" w:hanging="360"/>
      </w:pPr>
    </w:lvl>
    <w:lvl w:ilvl="7" w:tplc="05A4A6CE">
      <w:start w:val="1"/>
      <w:numFmt w:val="lowerLetter"/>
      <w:lvlText w:val="%8."/>
      <w:lvlJc w:val="left"/>
      <w:pPr>
        <w:ind w:left="5400" w:hanging="360"/>
      </w:pPr>
    </w:lvl>
    <w:lvl w:ilvl="8" w:tplc="A8069C42">
      <w:start w:val="1"/>
      <w:numFmt w:val="lowerRoman"/>
      <w:lvlText w:val="%9."/>
      <w:lvlJc w:val="right"/>
      <w:pPr>
        <w:ind w:left="6120" w:hanging="180"/>
      </w:pPr>
    </w:lvl>
  </w:abstractNum>
  <w:abstractNum w:abstractNumId="7" w15:restartNumberingAfterBreak="0">
    <w:nsid w:val="3E905255"/>
    <w:multiLevelType w:val="hybridMultilevel"/>
    <w:tmpl w:val="A72A9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4E3C77"/>
    <w:multiLevelType w:val="hybridMultilevel"/>
    <w:tmpl w:val="BB787F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B3D28C7"/>
    <w:multiLevelType w:val="multilevel"/>
    <w:tmpl w:val="03842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2575DBE"/>
    <w:multiLevelType w:val="hybridMultilevel"/>
    <w:tmpl w:val="0A86F338"/>
    <w:lvl w:ilvl="0" w:tplc="6BC6FCEE">
      <w:start w:val="1"/>
      <w:numFmt w:val="bullet"/>
      <w:lvlText w:val=""/>
      <w:lvlJc w:val="left"/>
      <w:pPr>
        <w:ind w:left="720" w:hanging="360"/>
      </w:pPr>
      <w:rPr>
        <w:rFonts w:ascii="Symbol" w:hAnsi="Symbol" w:hint="default"/>
      </w:rPr>
    </w:lvl>
    <w:lvl w:ilvl="1" w:tplc="FFB08D32">
      <w:start w:val="1"/>
      <w:numFmt w:val="bullet"/>
      <w:lvlText w:val="o"/>
      <w:lvlJc w:val="left"/>
      <w:pPr>
        <w:ind w:left="1440" w:hanging="360"/>
      </w:pPr>
      <w:rPr>
        <w:rFonts w:ascii="Courier New" w:hAnsi="Courier New" w:hint="default"/>
      </w:rPr>
    </w:lvl>
    <w:lvl w:ilvl="2" w:tplc="58C63BB2">
      <w:start w:val="1"/>
      <w:numFmt w:val="bullet"/>
      <w:lvlText w:val=""/>
      <w:lvlJc w:val="left"/>
      <w:pPr>
        <w:ind w:left="2160" w:hanging="360"/>
      </w:pPr>
      <w:rPr>
        <w:rFonts w:ascii="Wingdings" w:hAnsi="Wingdings" w:hint="default"/>
      </w:rPr>
    </w:lvl>
    <w:lvl w:ilvl="3" w:tplc="9E0A5D4A">
      <w:start w:val="1"/>
      <w:numFmt w:val="bullet"/>
      <w:lvlText w:val=""/>
      <w:lvlJc w:val="left"/>
      <w:pPr>
        <w:ind w:left="2880" w:hanging="360"/>
      </w:pPr>
      <w:rPr>
        <w:rFonts w:ascii="Symbol" w:hAnsi="Symbol" w:hint="default"/>
      </w:rPr>
    </w:lvl>
    <w:lvl w:ilvl="4" w:tplc="6262A1A6">
      <w:start w:val="1"/>
      <w:numFmt w:val="bullet"/>
      <w:lvlText w:val="o"/>
      <w:lvlJc w:val="left"/>
      <w:pPr>
        <w:ind w:left="3600" w:hanging="360"/>
      </w:pPr>
      <w:rPr>
        <w:rFonts w:ascii="Courier New" w:hAnsi="Courier New" w:hint="default"/>
      </w:rPr>
    </w:lvl>
    <w:lvl w:ilvl="5" w:tplc="D3EC7B08">
      <w:start w:val="1"/>
      <w:numFmt w:val="bullet"/>
      <w:lvlText w:val=""/>
      <w:lvlJc w:val="left"/>
      <w:pPr>
        <w:ind w:left="4320" w:hanging="360"/>
      </w:pPr>
      <w:rPr>
        <w:rFonts w:ascii="Wingdings" w:hAnsi="Wingdings" w:hint="default"/>
      </w:rPr>
    </w:lvl>
    <w:lvl w:ilvl="6" w:tplc="702E1798">
      <w:start w:val="1"/>
      <w:numFmt w:val="bullet"/>
      <w:lvlText w:val=""/>
      <w:lvlJc w:val="left"/>
      <w:pPr>
        <w:ind w:left="5040" w:hanging="360"/>
      </w:pPr>
      <w:rPr>
        <w:rFonts w:ascii="Symbol" w:hAnsi="Symbol" w:hint="default"/>
      </w:rPr>
    </w:lvl>
    <w:lvl w:ilvl="7" w:tplc="6F86CE68">
      <w:start w:val="1"/>
      <w:numFmt w:val="bullet"/>
      <w:lvlText w:val="o"/>
      <w:lvlJc w:val="left"/>
      <w:pPr>
        <w:ind w:left="5760" w:hanging="360"/>
      </w:pPr>
      <w:rPr>
        <w:rFonts w:ascii="Courier New" w:hAnsi="Courier New" w:hint="default"/>
      </w:rPr>
    </w:lvl>
    <w:lvl w:ilvl="8" w:tplc="F36AD732">
      <w:start w:val="1"/>
      <w:numFmt w:val="bullet"/>
      <w:lvlText w:val=""/>
      <w:lvlJc w:val="left"/>
      <w:pPr>
        <w:ind w:left="6480" w:hanging="360"/>
      </w:pPr>
      <w:rPr>
        <w:rFonts w:ascii="Wingdings" w:hAnsi="Wingdings" w:hint="default"/>
      </w:rPr>
    </w:lvl>
  </w:abstractNum>
  <w:abstractNum w:abstractNumId="11" w15:restartNumberingAfterBreak="0">
    <w:nsid w:val="694C5A6D"/>
    <w:multiLevelType w:val="hybridMultilevel"/>
    <w:tmpl w:val="88466A4C"/>
    <w:lvl w:ilvl="0" w:tplc="85D0F51C">
      <w:start w:val="1"/>
      <w:numFmt w:val="bullet"/>
      <w:lvlText w:val=""/>
      <w:lvlJc w:val="left"/>
      <w:pPr>
        <w:ind w:left="720" w:hanging="360"/>
      </w:pPr>
      <w:rPr>
        <w:rFonts w:ascii="Symbol" w:hAnsi="Symbol" w:hint="default"/>
      </w:rPr>
    </w:lvl>
    <w:lvl w:ilvl="1" w:tplc="E5FC7E70">
      <w:start w:val="1"/>
      <w:numFmt w:val="bullet"/>
      <w:lvlText w:val="o"/>
      <w:lvlJc w:val="left"/>
      <w:pPr>
        <w:ind w:left="1440" w:hanging="360"/>
      </w:pPr>
      <w:rPr>
        <w:rFonts w:ascii="Courier New" w:hAnsi="Courier New" w:hint="default"/>
      </w:rPr>
    </w:lvl>
    <w:lvl w:ilvl="2" w:tplc="F7CC0302">
      <w:start w:val="1"/>
      <w:numFmt w:val="bullet"/>
      <w:lvlText w:val=""/>
      <w:lvlJc w:val="left"/>
      <w:pPr>
        <w:ind w:left="2160" w:hanging="360"/>
      </w:pPr>
      <w:rPr>
        <w:rFonts w:ascii="Wingdings" w:hAnsi="Wingdings" w:hint="default"/>
      </w:rPr>
    </w:lvl>
    <w:lvl w:ilvl="3" w:tplc="D0A4B3BC">
      <w:start w:val="1"/>
      <w:numFmt w:val="bullet"/>
      <w:lvlText w:val=""/>
      <w:lvlJc w:val="left"/>
      <w:pPr>
        <w:ind w:left="2880" w:hanging="360"/>
      </w:pPr>
      <w:rPr>
        <w:rFonts w:ascii="Symbol" w:hAnsi="Symbol" w:hint="default"/>
      </w:rPr>
    </w:lvl>
    <w:lvl w:ilvl="4" w:tplc="DCC2B25A">
      <w:start w:val="1"/>
      <w:numFmt w:val="bullet"/>
      <w:lvlText w:val="o"/>
      <w:lvlJc w:val="left"/>
      <w:pPr>
        <w:ind w:left="3600" w:hanging="360"/>
      </w:pPr>
      <w:rPr>
        <w:rFonts w:ascii="Courier New" w:hAnsi="Courier New" w:hint="default"/>
      </w:rPr>
    </w:lvl>
    <w:lvl w:ilvl="5" w:tplc="9EE43FF6">
      <w:start w:val="1"/>
      <w:numFmt w:val="bullet"/>
      <w:lvlText w:val=""/>
      <w:lvlJc w:val="left"/>
      <w:pPr>
        <w:ind w:left="4320" w:hanging="360"/>
      </w:pPr>
      <w:rPr>
        <w:rFonts w:ascii="Wingdings" w:hAnsi="Wingdings" w:hint="default"/>
      </w:rPr>
    </w:lvl>
    <w:lvl w:ilvl="6" w:tplc="2DB01F14">
      <w:start w:val="1"/>
      <w:numFmt w:val="bullet"/>
      <w:lvlText w:val=""/>
      <w:lvlJc w:val="left"/>
      <w:pPr>
        <w:ind w:left="5040" w:hanging="360"/>
      </w:pPr>
      <w:rPr>
        <w:rFonts w:ascii="Symbol" w:hAnsi="Symbol" w:hint="default"/>
      </w:rPr>
    </w:lvl>
    <w:lvl w:ilvl="7" w:tplc="ADDA24E4">
      <w:start w:val="1"/>
      <w:numFmt w:val="bullet"/>
      <w:lvlText w:val="o"/>
      <w:lvlJc w:val="left"/>
      <w:pPr>
        <w:ind w:left="5760" w:hanging="360"/>
      </w:pPr>
      <w:rPr>
        <w:rFonts w:ascii="Courier New" w:hAnsi="Courier New" w:hint="default"/>
      </w:rPr>
    </w:lvl>
    <w:lvl w:ilvl="8" w:tplc="8C041DBC">
      <w:start w:val="1"/>
      <w:numFmt w:val="bullet"/>
      <w:lvlText w:val=""/>
      <w:lvlJc w:val="left"/>
      <w:pPr>
        <w:ind w:left="6480" w:hanging="360"/>
      </w:pPr>
      <w:rPr>
        <w:rFonts w:ascii="Wingdings" w:hAnsi="Wingdings" w:hint="default"/>
      </w:rPr>
    </w:lvl>
  </w:abstractNum>
  <w:abstractNum w:abstractNumId="12" w15:restartNumberingAfterBreak="0">
    <w:nsid w:val="70786ABB"/>
    <w:multiLevelType w:val="hybridMultilevel"/>
    <w:tmpl w:val="8E2CC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B16464"/>
    <w:multiLevelType w:val="hybridMultilevel"/>
    <w:tmpl w:val="AAECD450"/>
    <w:lvl w:ilvl="0" w:tplc="B7547F7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526C98"/>
    <w:multiLevelType w:val="multilevel"/>
    <w:tmpl w:val="A90A522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43C645B"/>
    <w:multiLevelType w:val="hybridMultilevel"/>
    <w:tmpl w:val="872C32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5591FB8"/>
    <w:multiLevelType w:val="hybridMultilevel"/>
    <w:tmpl w:val="152C9F78"/>
    <w:lvl w:ilvl="0" w:tplc="6C545A70">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0"/>
  </w:num>
  <w:num w:numId="3">
    <w:abstractNumId w:val="10"/>
  </w:num>
  <w:num w:numId="4">
    <w:abstractNumId w:val="3"/>
  </w:num>
  <w:num w:numId="5">
    <w:abstractNumId w:val="11"/>
  </w:num>
  <w:num w:numId="6">
    <w:abstractNumId w:val="9"/>
  </w:num>
  <w:num w:numId="7">
    <w:abstractNumId w:val="2"/>
  </w:num>
  <w:num w:numId="8">
    <w:abstractNumId w:val="5"/>
  </w:num>
  <w:num w:numId="9">
    <w:abstractNumId w:val="13"/>
  </w:num>
  <w:num w:numId="10">
    <w:abstractNumId w:val="16"/>
  </w:num>
  <w:num w:numId="11">
    <w:abstractNumId w:val="4"/>
  </w:num>
  <w:num w:numId="12">
    <w:abstractNumId w:val="7"/>
  </w:num>
  <w:num w:numId="13">
    <w:abstractNumId w:val="12"/>
  </w:num>
  <w:num w:numId="14">
    <w:abstractNumId w:val="1"/>
  </w:num>
  <w:num w:numId="15">
    <w:abstractNumId w:val="15"/>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0F604EE"/>
    <w:rsid w:val="00000D02"/>
    <w:rsid w:val="00001092"/>
    <w:rsid w:val="0000385B"/>
    <w:rsid w:val="00003FC0"/>
    <w:rsid w:val="000059DB"/>
    <w:rsid w:val="00005BCD"/>
    <w:rsid w:val="000065FA"/>
    <w:rsid w:val="00006AF1"/>
    <w:rsid w:val="000117FE"/>
    <w:rsid w:val="00012D11"/>
    <w:rsid w:val="0001403C"/>
    <w:rsid w:val="00015923"/>
    <w:rsid w:val="00016753"/>
    <w:rsid w:val="00020B7C"/>
    <w:rsid w:val="00025563"/>
    <w:rsid w:val="00030E41"/>
    <w:rsid w:val="00034F36"/>
    <w:rsid w:val="00036042"/>
    <w:rsid w:val="0003747F"/>
    <w:rsid w:val="00043DE7"/>
    <w:rsid w:val="00044084"/>
    <w:rsid w:val="00047BF7"/>
    <w:rsid w:val="00052263"/>
    <w:rsid w:val="0005702A"/>
    <w:rsid w:val="00057C79"/>
    <w:rsid w:val="000631CE"/>
    <w:rsid w:val="00063B0C"/>
    <w:rsid w:val="00063F38"/>
    <w:rsid w:val="000641CF"/>
    <w:rsid w:val="0006699F"/>
    <w:rsid w:val="0007253F"/>
    <w:rsid w:val="000748B8"/>
    <w:rsid w:val="00076258"/>
    <w:rsid w:val="00081887"/>
    <w:rsid w:val="000818C9"/>
    <w:rsid w:val="00085533"/>
    <w:rsid w:val="00085587"/>
    <w:rsid w:val="000856ED"/>
    <w:rsid w:val="00087801"/>
    <w:rsid w:val="00091BBC"/>
    <w:rsid w:val="00094C31"/>
    <w:rsid w:val="00095AA2"/>
    <w:rsid w:val="0009650B"/>
    <w:rsid w:val="000A552D"/>
    <w:rsid w:val="000B685E"/>
    <w:rsid w:val="000C07B7"/>
    <w:rsid w:val="000C1A63"/>
    <w:rsid w:val="000C1B84"/>
    <w:rsid w:val="000C30BB"/>
    <w:rsid w:val="000C68EA"/>
    <w:rsid w:val="000D2041"/>
    <w:rsid w:val="000D2FCC"/>
    <w:rsid w:val="000D30B7"/>
    <w:rsid w:val="000D6D03"/>
    <w:rsid w:val="000D740E"/>
    <w:rsid w:val="000D799B"/>
    <w:rsid w:val="000E2B89"/>
    <w:rsid w:val="000E3B02"/>
    <w:rsid w:val="000E51F0"/>
    <w:rsid w:val="000E609E"/>
    <w:rsid w:val="000F0B96"/>
    <w:rsid w:val="000F1F8B"/>
    <w:rsid w:val="000F2887"/>
    <w:rsid w:val="000F314F"/>
    <w:rsid w:val="000F3403"/>
    <w:rsid w:val="000F456E"/>
    <w:rsid w:val="0010014E"/>
    <w:rsid w:val="0011263D"/>
    <w:rsid w:val="00113A08"/>
    <w:rsid w:val="00113E9A"/>
    <w:rsid w:val="001146F2"/>
    <w:rsid w:val="00116310"/>
    <w:rsid w:val="00116624"/>
    <w:rsid w:val="00120A78"/>
    <w:rsid w:val="0012549A"/>
    <w:rsid w:val="00125A7E"/>
    <w:rsid w:val="001273F6"/>
    <w:rsid w:val="0013031D"/>
    <w:rsid w:val="00130E91"/>
    <w:rsid w:val="00130EE3"/>
    <w:rsid w:val="00131017"/>
    <w:rsid w:val="001317B2"/>
    <w:rsid w:val="0013231E"/>
    <w:rsid w:val="0013672E"/>
    <w:rsid w:val="00144DD5"/>
    <w:rsid w:val="00157807"/>
    <w:rsid w:val="00161151"/>
    <w:rsid w:val="001618A1"/>
    <w:rsid w:val="001647C8"/>
    <w:rsid w:val="00165AFD"/>
    <w:rsid w:val="00175739"/>
    <w:rsid w:val="00181EC1"/>
    <w:rsid w:val="001867E4"/>
    <w:rsid w:val="00193695"/>
    <w:rsid w:val="00195378"/>
    <w:rsid w:val="00196F4B"/>
    <w:rsid w:val="001A2EA9"/>
    <w:rsid w:val="001A624C"/>
    <w:rsid w:val="001A6F2B"/>
    <w:rsid w:val="001A788F"/>
    <w:rsid w:val="001B2527"/>
    <w:rsid w:val="001B6545"/>
    <w:rsid w:val="001C0A6B"/>
    <w:rsid w:val="001C2568"/>
    <w:rsid w:val="001C2D4B"/>
    <w:rsid w:val="001C2EF5"/>
    <w:rsid w:val="001C2F8C"/>
    <w:rsid w:val="001C46BA"/>
    <w:rsid w:val="001C6A22"/>
    <w:rsid w:val="001D072A"/>
    <w:rsid w:val="001D0DB3"/>
    <w:rsid w:val="001D345D"/>
    <w:rsid w:val="001D3656"/>
    <w:rsid w:val="001E01D3"/>
    <w:rsid w:val="001E22AE"/>
    <w:rsid w:val="001E34B3"/>
    <w:rsid w:val="001E48E7"/>
    <w:rsid w:val="001E6AA1"/>
    <w:rsid w:val="001F0E69"/>
    <w:rsid w:val="001F55E1"/>
    <w:rsid w:val="001F60C1"/>
    <w:rsid w:val="001F7552"/>
    <w:rsid w:val="00200C9C"/>
    <w:rsid w:val="002035C9"/>
    <w:rsid w:val="00204A38"/>
    <w:rsid w:val="00205217"/>
    <w:rsid w:val="00205F1C"/>
    <w:rsid w:val="0020683B"/>
    <w:rsid w:val="002069D3"/>
    <w:rsid w:val="00210F4D"/>
    <w:rsid w:val="002144E9"/>
    <w:rsid w:val="002155DB"/>
    <w:rsid w:val="0021562E"/>
    <w:rsid w:val="002167FB"/>
    <w:rsid w:val="00216E25"/>
    <w:rsid w:val="002217F9"/>
    <w:rsid w:val="00221DD0"/>
    <w:rsid w:val="00223539"/>
    <w:rsid w:val="0022360B"/>
    <w:rsid w:val="00223C91"/>
    <w:rsid w:val="0023148D"/>
    <w:rsid w:val="002315B9"/>
    <w:rsid w:val="0024275E"/>
    <w:rsid w:val="002477E2"/>
    <w:rsid w:val="00247A54"/>
    <w:rsid w:val="00252232"/>
    <w:rsid w:val="00252EAF"/>
    <w:rsid w:val="00253055"/>
    <w:rsid w:val="00257483"/>
    <w:rsid w:val="002623B1"/>
    <w:rsid w:val="00264E43"/>
    <w:rsid w:val="0026540A"/>
    <w:rsid w:val="00266400"/>
    <w:rsid w:val="0027094B"/>
    <w:rsid w:val="00271130"/>
    <w:rsid w:val="002720AA"/>
    <w:rsid w:val="00272F27"/>
    <w:rsid w:val="00274CA6"/>
    <w:rsid w:val="0028304B"/>
    <w:rsid w:val="002857FF"/>
    <w:rsid w:val="0028588B"/>
    <w:rsid w:val="00287A62"/>
    <w:rsid w:val="00287F22"/>
    <w:rsid w:val="00290063"/>
    <w:rsid w:val="00290BAA"/>
    <w:rsid w:val="00292CCD"/>
    <w:rsid w:val="00295A1D"/>
    <w:rsid w:val="002A06BE"/>
    <w:rsid w:val="002B21D6"/>
    <w:rsid w:val="002B3F45"/>
    <w:rsid w:val="002C29D4"/>
    <w:rsid w:val="002C35FC"/>
    <w:rsid w:val="002C401D"/>
    <w:rsid w:val="002C7C04"/>
    <w:rsid w:val="002D227F"/>
    <w:rsid w:val="002E0479"/>
    <w:rsid w:val="002E0500"/>
    <w:rsid w:val="002E56A6"/>
    <w:rsid w:val="002F26D1"/>
    <w:rsid w:val="002F37D0"/>
    <w:rsid w:val="002F48B0"/>
    <w:rsid w:val="002F5834"/>
    <w:rsid w:val="00301F70"/>
    <w:rsid w:val="00302727"/>
    <w:rsid w:val="003069B3"/>
    <w:rsid w:val="003070F5"/>
    <w:rsid w:val="00307753"/>
    <w:rsid w:val="003117CC"/>
    <w:rsid w:val="00311EBC"/>
    <w:rsid w:val="00316EC4"/>
    <w:rsid w:val="003203D4"/>
    <w:rsid w:val="00322668"/>
    <w:rsid w:val="00330CBA"/>
    <w:rsid w:val="00331E35"/>
    <w:rsid w:val="00344287"/>
    <w:rsid w:val="00345161"/>
    <w:rsid w:val="00345F28"/>
    <w:rsid w:val="0035118D"/>
    <w:rsid w:val="0035315C"/>
    <w:rsid w:val="00355ADA"/>
    <w:rsid w:val="00355B96"/>
    <w:rsid w:val="00356588"/>
    <w:rsid w:val="003601B6"/>
    <w:rsid w:val="003610F3"/>
    <w:rsid w:val="003628FD"/>
    <w:rsid w:val="003629C9"/>
    <w:rsid w:val="00362D7A"/>
    <w:rsid w:val="00365073"/>
    <w:rsid w:val="00367163"/>
    <w:rsid w:val="00367D03"/>
    <w:rsid w:val="003726B6"/>
    <w:rsid w:val="0037515D"/>
    <w:rsid w:val="00375401"/>
    <w:rsid w:val="00375D0B"/>
    <w:rsid w:val="00377254"/>
    <w:rsid w:val="003803C2"/>
    <w:rsid w:val="00382071"/>
    <w:rsid w:val="00383361"/>
    <w:rsid w:val="0038427F"/>
    <w:rsid w:val="00385256"/>
    <w:rsid w:val="00391C2A"/>
    <w:rsid w:val="00395016"/>
    <w:rsid w:val="00395BFD"/>
    <w:rsid w:val="00395FFC"/>
    <w:rsid w:val="00396266"/>
    <w:rsid w:val="00397EA5"/>
    <w:rsid w:val="003A2DC8"/>
    <w:rsid w:val="003A4E29"/>
    <w:rsid w:val="003A5BC6"/>
    <w:rsid w:val="003A6533"/>
    <w:rsid w:val="003B0805"/>
    <w:rsid w:val="003B6656"/>
    <w:rsid w:val="003B67FD"/>
    <w:rsid w:val="003C1BC0"/>
    <w:rsid w:val="003C299E"/>
    <w:rsid w:val="003C4260"/>
    <w:rsid w:val="003C475B"/>
    <w:rsid w:val="003C54D9"/>
    <w:rsid w:val="003C66D5"/>
    <w:rsid w:val="003C6A5C"/>
    <w:rsid w:val="003C7C71"/>
    <w:rsid w:val="003D2DC1"/>
    <w:rsid w:val="003D46AD"/>
    <w:rsid w:val="003D7A2C"/>
    <w:rsid w:val="003E3971"/>
    <w:rsid w:val="003E5CDC"/>
    <w:rsid w:val="003E613D"/>
    <w:rsid w:val="003E6F8D"/>
    <w:rsid w:val="003F000A"/>
    <w:rsid w:val="003F0901"/>
    <w:rsid w:val="003F28F0"/>
    <w:rsid w:val="003F58A4"/>
    <w:rsid w:val="003F662B"/>
    <w:rsid w:val="003F6C69"/>
    <w:rsid w:val="004016A9"/>
    <w:rsid w:val="00402A77"/>
    <w:rsid w:val="00404023"/>
    <w:rsid w:val="00406F74"/>
    <w:rsid w:val="00413F98"/>
    <w:rsid w:val="004154DC"/>
    <w:rsid w:val="004158F6"/>
    <w:rsid w:val="004215D7"/>
    <w:rsid w:val="00423801"/>
    <w:rsid w:val="00431EC0"/>
    <w:rsid w:val="00440D08"/>
    <w:rsid w:val="004410DC"/>
    <w:rsid w:val="00443A7A"/>
    <w:rsid w:val="00445A2A"/>
    <w:rsid w:val="00447C9B"/>
    <w:rsid w:val="00452465"/>
    <w:rsid w:val="004571AD"/>
    <w:rsid w:val="00457EE7"/>
    <w:rsid w:val="00461254"/>
    <w:rsid w:val="004612DE"/>
    <w:rsid w:val="00466C75"/>
    <w:rsid w:val="0046761D"/>
    <w:rsid w:val="00471D85"/>
    <w:rsid w:val="0047429B"/>
    <w:rsid w:val="00485261"/>
    <w:rsid w:val="00487E46"/>
    <w:rsid w:val="00493538"/>
    <w:rsid w:val="004A1847"/>
    <w:rsid w:val="004A1BD7"/>
    <w:rsid w:val="004A4D73"/>
    <w:rsid w:val="004A7A30"/>
    <w:rsid w:val="004B0D21"/>
    <w:rsid w:val="004B0D86"/>
    <w:rsid w:val="004B72A0"/>
    <w:rsid w:val="004B7471"/>
    <w:rsid w:val="004C0953"/>
    <w:rsid w:val="004C220C"/>
    <w:rsid w:val="004C53D5"/>
    <w:rsid w:val="004C6C29"/>
    <w:rsid w:val="004C7CDF"/>
    <w:rsid w:val="004D1931"/>
    <w:rsid w:val="004D3917"/>
    <w:rsid w:val="004D4C74"/>
    <w:rsid w:val="004D5263"/>
    <w:rsid w:val="004D61FA"/>
    <w:rsid w:val="004D69DC"/>
    <w:rsid w:val="004D7543"/>
    <w:rsid w:val="004E0C67"/>
    <w:rsid w:val="004E3BE9"/>
    <w:rsid w:val="004E4F63"/>
    <w:rsid w:val="004F15AA"/>
    <w:rsid w:val="004F445E"/>
    <w:rsid w:val="0050611E"/>
    <w:rsid w:val="005064E2"/>
    <w:rsid w:val="0050754F"/>
    <w:rsid w:val="00510642"/>
    <w:rsid w:val="00511348"/>
    <w:rsid w:val="00517F7A"/>
    <w:rsid w:val="00520A09"/>
    <w:rsid w:val="005217E0"/>
    <w:rsid w:val="00524009"/>
    <w:rsid w:val="0052748B"/>
    <w:rsid w:val="0053014F"/>
    <w:rsid w:val="005320D6"/>
    <w:rsid w:val="00532FBB"/>
    <w:rsid w:val="0053336C"/>
    <w:rsid w:val="005350D5"/>
    <w:rsid w:val="005416BE"/>
    <w:rsid w:val="00542544"/>
    <w:rsid w:val="00543263"/>
    <w:rsid w:val="005442BE"/>
    <w:rsid w:val="00547ED4"/>
    <w:rsid w:val="00554D87"/>
    <w:rsid w:val="00554ED6"/>
    <w:rsid w:val="00555AB2"/>
    <w:rsid w:val="00556EEF"/>
    <w:rsid w:val="00572052"/>
    <w:rsid w:val="0057289B"/>
    <w:rsid w:val="00574696"/>
    <w:rsid w:val="0057727F"/>
    <w:rsid w:val="00577D3F"/>
    <w:rsid w:val="00587A5B"/>
    <w:rsid w:val="00587C05"/>
    <w:rsid w:val="00590071"/>
    <w:rsid w:val="005917F8"/>
    <w:rsid w:val="00592DD2"/>
    <w:rsid w:val="00593170"/>
    <w:rsid w:val="00594A54"/>
    <w:rsid w:val="00596C5A"/>
    <w:rsid w:val="005A224C"/>
    <w:rsid w:val="005A6733"/>
    <w:rsid w:val="005A7374"/>
    <w:rsid w:val="005B54C2"/>
    <w:rsid w:val="005B5603"/>
    <w:rsid w:val="005C1B6E"/>
    <w:rsid w:val="005C491A"/>
    <w:rsid w:val="005C4E75"/>
    <w:rsid w:val="005C5D67"/>
    <w:rsid w:val="005C6FF1"/>
    <w:rsid w:val="005D47D9"/>
    <w:rsid w:val="005D531F"/>
    <w:rsid w:val="005D5A38"/>
    <w:rsid w:val="005D634C"/>
    <w:rsid w:val="005D76E4"/>
    <w:rsid w:val="005E077F"/>
    <w:rsid w:val="005E1A78"/>
    <w:rsid w:val="005F1E73"/>
    <w:rsid w:val="00601C8F"/>
    <w:rsid w:val="006067D0"/>
    <w:rsid w:val="00606F85"/>
    <w:rsid w:val="0060755C"/>
    <w:rsid w:val="00612789"/>
    <w:rsid w:val="006247C3"/>
    <w:rsid w:val="006251CD"/>
    <w:rsid w:val="00625460"/>
    <w:rsid w:val="00626C42"/>
    <w:rsid w:val="00626E14"/>
    <w:rsid w:val="00627D90"/>
    <w:rsid w:val="006317AD"/>
    <w:rsid w:val="006320CC"/>
    <w:rsid w:val="00643811"/>
    <w:rsid w:val="00643A65"/>
    <w:rsid w:val="0064578E"/>
    <w:rsid w:val="00647655"/>
    <w:rsid w:val="00647DBE"/>
    <w:rsid w:val="006503B2"/>
    <w:rsid w:val="006563EC"/>
    <w:rsid w:val="00657451"/>
    <w:rsid w:val="00662470"/>
    <w:rsid w:val="00664897"/>
    <w:rsid w:val="006678DE"/>
    <w:rsid w:val="006678E1"/>
    <w:rsid w:val="0067048C"/>
    <w:rsid w:val="00673096"/>
    <w:rsid w:val="006835AD"/>
    <w:rsid w:val="00686B96"/>
    <w:rsid w:val="006872B5"/>
    <w:rsid w:val="00690138"/>
    <w:rsid w:val="006911DA"/>
    <w:rsid w:val="00692469"/>
    <w:rsid w:val="0069580E"/>
    <w:rsid w:val="006A2621"/>
    <w:rsid w:val="006A5975"/>
    <w:rsid w:val="006A5E0C"/>
    <w:rsid w:val="006A72D6"/>
    <w:rsid w:val="006B1E20"/>
    <w:rsid w:val="006B2DF3"/>
    <w:rsid w:val="006B3533"/>
    <w:rsid w:val="006B5024"/>
    <w:rsid w:val="006B7206"/>
    <w:rsid w:val="006C0635"/>
    <w:rsid w:val="006C3F5D"/>
    <w:rsid w:val="006D3E15"/>
    <w:rsid w:val="006D6B61"/>
    <w:rsid w:val="006F1385"/>
    <w:rsid w:val="006F4AA6"/>
    <w:rsid w:val="00701BEF"/>
    <w:rsid w:val="007039BD"/>
    <w:rsid w:val="00704CA0"/>
    <w:rsid w:val="00706B76"/>
    <w:rsid w:val="00711911"/>
    <w:rsid w:val="00711BD5"/>
    <w:rsid w:val="00712381"/>
    <w:rsid w:val="00715B3E"/>
    <w:rsid w:val="00717C89"/>
    <w:rsid w:val="00721758"/>
    <w:rsid w:val="00721AF0"/>
    <w:rsid w:val="007305C5"/>
    <w:rsid w:val="00734279"/>
    <w:rsid w:val="007371AB"/>
    <w:rsid w:val="00737909"/>
    <w:rsid w:val="00747D96"/>
    <w:rsid w:val="007525B9"/>
    <w:rsid w:val="007526D5"/>
    <w:rsid w:val="007539AA"/>
    <w:rsid w:val="00754CB1"/>
    <w:rsid w:val="00755976"/>
    <w:rsid w:val="00757C63"/>
    <w:rsid w:val="00773792"/>
    <w:rsid w:val="00773CCB"/>
    <w:rsid w:val="00776EC3"/>
    <w:rsid w:val="00777C98"/>
    <w:rsid w:val="00782FB8"/>
    <w:rsid w:val="00784387"/>
    <w:rsid w:val="00784A21"/>
    <w:rsid w:val="007868D8"/>
    <w:rsid w:val="00787125"/>
    <w:rsid w:val="00790CC0"/>
    <w:rsid w:val="007917C6"/>
    <w:rsid w:val="007978AE"/>
    <w:rsid w:val="007A1DD4"/>
    <w:rsid w:val="007A47F8"/>
    <w:rsid w:val="007C0D3F"/>
    <w:rsid w:val="007D150A"/>
    <w:rsid w:val="007D2CB6"/>
    <w:rsid w:val="007D3F97"/>
    <w:rsid w:val="007D3FA0"/>
    <w:rsid w:val="007D5760"/>
    <w:rsid w:val="007D697C"/>
    <w:rsid w:val="007D70B6"/>
    <w:rsid w:val="007E1884"/>
    <w:rsid w:val="007E5BDC"/>
    <w:rsid w:val="007E7435"/>
    <w:rsid w:val="007F564D"/>
    <w:rsid w:val="007F5C3E"/>
    <w:rsid w:val="008072F1"/>
    <w:rsid w:val="008131D5"/>
    <w:rsid w:val="00817230"/>
    <w:rsid w:val="0081723D"/>
    <w:rsid w:val="008200FB"/>
    <w:rsid w:val="00820FF7"/>
    <w:rsid w:val="00821108"/>
    <w:rsid w:val="00836622"/>
    <w:rsid w:val="00847992"/>
    <w:rsid w:val="008513BA"/>
    <w:rsid w:val="00851983"/>
    <w:rsid w:val="00851A68"/>
    <w:rsid w:val="00852798"/>
    <w:rsid w:val="00853096"/>
    <w:rsid w:val="00861021"/>
    <w:rsid w:val="00861724"/>
    <w:rsid w:val="00861F2B"/>
    <w:rsid w:val="0086215E"/>
    <w:rsid w:val="008648D6"/>
    <w:rsid w:val="00864BD4"/>
    <w:rsid w:val="00871388"/>
    <w:rsid w:val="00873D96"/>
    <w:rsid w:val="008768E8"/>
    <w:rsid w:val="00876E66"/>
    <w:rsid w:val="00877741"/>
    <w:rsid w:val="00880B11"/>
    <w:rsid w:val="008810F0"/>
    <w:rsid w:val="00881B3A"/>
    <w:rsid w:val="008842AC"/>
    <w:rsid w:val="00887EC0"/>
    <w:rsid w:val="0089056A"/>
    <w:rsid w:val="00892DF2"/>
    <w:rsid w:val="008949F4"/>
    <w:rsid w:val="00896621"/>
    <w:rsid w:val="008A4908"/>
    <w:rsid w:val="008A7F97"/>
    <w:rsid w:val="008B1CCD"/>
    <w:rsid w:val="008B1E96"/>
    <w:rsid w:val="008B47C5"/>
    <w:rsid w:val="008B48E4"/>
    <w:rsid w:val="008C1820"/>
    <w:rsid w:val="008C2B77"/>
    <w:rsid w:val="008C398D"/>
    <w:rsid w:val="008D1074"/>
    <w:rsid w:val="008E379C"/>
    <w:rsid w:val="008E46BC"/>
    <w:rsid w:val="008E52CA"/>
    <w:rsid w:val="008F0755"/>
    <w:rsid w:val="008F3F65"/>
    <w:rsid w:val="008F7713"/>
    <w:rsid w:val="009156B3"/>
    <w:rsid w:val="00921C95"/>
    <w:rsid w:val="00922DB4"/>
    <w:rsid w:val="00922E1D"/>
    <w:rsid w:val="00923CC8"/>
    <w:rsid w:val="00924C61"/>
    <w:rsid w:val="00930916"/>
    <w:rsid w:val="009366F3"/>
    <w:rsid w:val="009478EC"/>
    <w:rsid w:val="009568AE"/>
    <w:rsid w:val="00961552"/>
    <w:rsid w:val="00962138"/>
    <w:rsid w:val="0096240D"/>
    <w:rsid w:val="00971184"/>
    <w:rsid w:val="00973420"/>
    <w:rsid w:val="009752B0"/>
    <w:rsid w:val="009755CC"/>
    <w:rsid w:val="00975C83"/>
    <w:rsid w:val="00975F5B"/>
    <w:rsid w:val="00976921"/>
    <w:rsid w:val="00984739"/>
    <w:rsid w:val="00986108"/>
    <w:rsid w:val="00993348"/>
    <w:rsid w:val="00994499"/>
    <w:rsid w:val="009A11EB"/>
    <w:rsid w:val="009A1650"/>
    <w:rsid w:val="009A4CD6"/>
    <w:rsid w:val="009A50FB"/>
    <w:rsid w:val="009A5BCC"/>
    <w:rsid w:val="009A7597"/>
    <w:rsid w:val="009B19B1"/>
    <w:rsid w:val="009B3412"/>
    <w:rsid w:val="009C5102"/>
    <w:rsid w:val="009D08BC"/>
    <w:rsid w:val="009D18AD"/>
    <w:rsid w:val="009D2CCE"/>
    <w:rsid w:val="009D5F5D"/>
    <w:rsid w:val="009E093E"/>
    <w:rsid w:val="009E5CB9"/>
    <w:rsid w:val="009E6671"/>
    <w:rsid w:val="009E74FF"/>
    <w:rsid w:val="009F1167"/>
    <w:rsid w:val="00A00645"/>
    <w:rsid w:val="00A01713"/>
    <w:rsid w:val="00A05CBF"/>
    <w:rsid w:val="00A069B5"/>
    <w:rsid w:val="00A10330"/>
    <w:rsid w:val="00A1447A"/>
    <w:rsid w:val="00A1703B"/>
    <w:rsid w:val="00A20B3C"/>
    <w:rsid w:val="00A23D33"/>
    <w:rsid w:val="00A26E5C"/>
    <w:rsid w:val="00A3342E"/>
    <w:rsid w:val="00A34874"/>
    <w:rsid w:val="00A37A8A"/>
    <w:rsid w:val="00A41270"/>
    <w:rsid w:val="00A41873"/>
    <w:rsid w:val="00A46123"/>
    <w:rsid w:val="00A51851"/>
    <w:rsid w:val="00A52032"/>
    <w:rsid w:val="00A52143"/>
    <w:rsid w:val="00A55E37"/>
    <w:rsid w:val="00A56D00"/>
    <w:rsid w:val="00A64EF8"/>
    <w:rsid w:val="00A664DE"/>
    <w:rsid w:val="00A74715"/>
    <w:rsid w:val="00A807F0"/>
    <w:rsid w:val="00A81BE4"/>
    <w:rsid w:val="00A83029"/>
    <w:rsid w:val="00A850BB"/>
    <w:rsid w:val="00A85574"/>
    <w:rsid w:val="00A95CDB"/>
    <w:rsid w:val="00AA212F"/>
    <w:rsid w:val="00AA6E89"/>
    <w:rsid w:val="00AC10D6"/>
    <w:rsid w:val="00AC26D9"/>
    <w:rsid w:val="00AC440D"/>
    <w:rsid w:val="00AD28D5"/>
    <w:rsid w:val="00AD57EA"/>
    <w:rsid w:val="00AE051D"/>
    <w:rsid w:val="00AE1AB3"/>
    <w:rsid w:val="00AE45A7"/>
    <w:rsid w:val="00AE4E7B"/>
    <w:rsid w:val="00AF28E2"/>
    <w:rsid w:val="00AF4E79"/>
    <w:rsid w:val="00AF73AA"/>
    <w:rsid w:val="00B048D0"/>
    <w:rsid w:val="00B05962"/>
    <w:rsid w:val="00B07084"/>
    <w:rsid w:val="00B11701"/>
    <w:rsid w:val="00B13111"/>
    <w:rsid w:val="00B14804"/>
    <w:rsid w:val="00B14AFB"/>
    <w:rsid w:val="00B22E76"/>
    <w:rsid w:val="00B230B1"/>
    <w:rsid w:val="00B243DC"/>
    <w:rsid w:val="00B24B87"/>
    <w:rsid w:val="00B25174"/>
    <w:rsid w:val="00B27248"/>
    <w:rsid w:val="00B3587A"/>
    <w:rsid w:val="00B43D72"/>
    <w:rsid w:val="00B46861"/>
    <w:rsid w:val="00B47A52"/>
    <w:rsid w:val="00B53354"/>
    <w:rsid w:val="00B568D6"/>
    <w:rsid w:val="00B6128C"/>
    <w:rsid w:val="00B6188C"/>
    <w:rsid w:val="00B642FD"/>
    <w:rsid w:val="00B6475B"/>
    <w:rsid w:val="00B65ED0"/>
    <w:rsid w:val="00B66991"/>
    <w:rsid w:val="00B67051"/>
    <w:rsid w:val="00B7018F"/>
    <w:rsid w:val="00B70A86"/>
    <w:rsid w:val="00B71FD3"/>
    <w:rsid w:val="00B743A5"/>
    <w:rsid w:val="00B74871"/>
    <w:rsid w:val="00B75190"/>
    <w:rsid w:val="00B75B94"/>
    <w:rsid w:val="00B75F07"/>
    <w:rsid w:val="00B77AD8"/>
    <w:rsid w:val="00B80571"/>
    <w:rsid w:val="00B80A44"/>
    <w:rsid w:val="00B80EDA"/>
    <w:rsid w:val="00B813E1"/>
    <w:rsid w:val="00B836A0"/>
    <w:rsid w:val="00B83D71"/>
    <w:rsid w:val="00B846A9"/>
    <w:rsid w:val="00B86C9D"/>
    <w:rsid w:val="00B93A30"/>
    <w:rsid w:val="00B94638"/>
    <w:rsid w:val="00B950DE"/>
    <w:rsid w:val="00B97599"/>
    <w:rsid w:val="00B97D89"/>
    <w:rsid w:val="00BA74ED"/>
    <w:rsid w:val="00BB1D2C"/>
    <w:rsid w:val="00BB1E7F"/>
    <w:rsid w:val="00BB461A"/>
    <w:rsid w:val="00BC3F68"/>
    <w:rsid w:val="00BC67CD"/>
    <w:rsid w:val="00BD1EDE"/>
    <w:rsid w:val="00BD3135"/>
    <w:rsid w:val="00BD3474"/>
    <w:rsid w:val="00BE04CF"/>
    <w:rsid w:val="00BE2279"/>
    <w:rsid w:val="00BE2475"/>
    <w:rsid w:val="00BE2897"/>
    <w:rsid w:val="00BE2BFC"/>
    <w:rsid w:val="00BE6689"/>
    <w:rsid w:val="00BF6212"/>
    <w:rsid w:val="00C022C1"/>
    <w:rsid w:val="00C03E55"/>
    <w:rsid w:val="00C05A8A"/>
    <w:rsid w:val="00C05BCC"/>
    <w:rsid w:val="00C06419"/>
    <w:rsid w:val="00C0731D"/>
    <w:rsid w:val="00C124DA"/>
    <w:rsid w:val="00C14872"/>
    <w:rsid w:val="00C17050"/>
    <w:rsid w:val="00C23DD9"/>
    <w:rsid w:val="00C2458F"/>
    <w:rsid w:val="00C35A22"/>
    <w:rsid w:val="00C36841"/>
    <w:rsid w:val="00C37987"/>
    <w:rsid w:val="00C40F8D"/>
    <w:rsid w:val="00C42A8F"/>
    <w:rsid w:val="00C43455"/>
    <w:rsid w:val="00C437DF"/>
    <w:rsid w:val="00C45C26"/>
    <w:rsid w:val="00C47DEC"/>
    <w:rsid w:val="00C51085"/>
    <w:rsid w:val="00C51F0D"/>
    <w:rsid w:val="00C54F90"/>
    <w:rsid w:val="00C55590"/>
    <w:rsid w:val="00C55813"/>
    <w:rsid w:val="00C570CB"/>
    <w:rsid w:val="00C60833"/>
    <w:rsid w:val="00C6189A"/>
    <w:rsid w:val="00C64881"/>
    <w:rsid w:val="00C71238"/>
    <w:rsid w:val="00C7463F"/>
    <w:rsid w:val="00C747D5"/>
    <w:rsid w:val="00C756F1"/>
    <w:rsid w:val="00C82BCF"/>
    <w:rsid w:val="00C82D18"/>
    <w:rsid w:val="00C8745D"/>
    <w:rsid w:val="00C92075"/>
    <w:rsid w:val="00C929D3"/>
    <w:rsid w:val="00C94AFC"/>
    <w:rsid w:val="00C9628D"/>
    <w:rsid w:val="00C978A5"/>
    <w:rsid w:val="00CA13A9"/>
    <w:rsid w:val="00CA3602"/>
    <w:rsid w:val="00CA4A83"/>
    <w:rsid w:val="00CA5007"/>
    <w:rsid w:val="00CA79A4"/>
    <w:rsid w:val="00CB0CD8"/>
    <w:rsid w:val="00CB0F4B"/>
    <w:rsid w:val="00CB1A24"/>
    <w:rsid w:val="00CB1F6D"/>
    <w:rsid w:val="00CB2786"/>
    <w:rsid w:val="00CC459E"/>
    <w:rsid w:val="00CC468F"/>
    <w:rsid w:val="00CC6295"/>
    <w:rsid w:val="00CD18CD"/>
    <w:rsid w:val="00CD1BB4"/>
    <w:rsid w:val="00CD3205"/>
    <w:rsid w:val="00CD47BB"/>
    <w:rsid w:val="00CE3C53"/>
    <w:rsid w:val="00CE4239"/>
    <w:rsid w:val="00CF0152"/>
    <w:rsid w:val="00CF50F3"/>
    <w:rsid w:val="00D00DED"/>
    <w:rsid w:val="00D02BF8"/>
    <w:rsid w:val="00D079A0"/>
    <w:rsid w:val="00D07C81"/>
    <w:rsid w:val="00D13D3C"/>
    <w:rsid w:val="00D1705D"/>
    <w:rsid w:val="00D22616"/>
    <w:rsid w:val="00D23179"/>
    <w:rsid w:val="00D23568"/>
    <w:rsid w:val="00D23FF7"/>
    <w:rsid w:val="00D242AE"/>
    <w:rsid w:val="00D25D71"/>
    <w:rsid w:val="00D2713A"/>
    <w:rsid w:val="00D3099B"/>
    <w:rsid w:val="00D311BE"/>
    <w:rsid w:val="00D43B22"/>
    <w:rsid w:val="00D50052"/>
    <w:rsid w:val="00D518F9"/>
    <w:rsid w:val="00D51E7F"/>
    <w:rsid w:val="00D64FC7"/>
    <w:rsid w:val="00D67243"/>
    <w:rsid w:val="00D71A6E"/>
    <w:rsid w:val="00D7423F"/>
    <w:rsid w:val="00D76EF7"/>
    <w:rsid w:val="00D80605"/>
    <w:rsid w:val="00D81322"/>
    <w:rsid w:val="00D84AE9"/>
    <w:rsid w:val="00D858C8"/>
    <w:rsid w:val="00D85F8C"/>
    <w:rsid w:val="00D86A2E"/>
    <w:rsid w:val="00D9180C"/>
    <w:rsid w:val="00D92435"/>
    <w:rsid w:val="00D92CA6"/>
    <w:rsid w:val="00D945D7"/>
    <w:rsid w:val="00D97A1D"/>
    <w:rsid w:val="00DA2603"/>
    <w:rsid w:val="00DA2DC3"/>
    <w:rsid w:val="00DA49D8"/>
    <w:rsid w:val="00DA4FC2"/>
    <w:rsid w:val="00DA73B2"/>
    <w:rsid w:val="00DB0CC2"/>
    <w:rsid w:val="00DB3886"/>
    <w:rsid w:val="00DC2F9B"/>
    <w:rsid w:val="00DC36DE"/>
    <w:rsid w:val="00DC37B5"/>
    <w:rsid w:val="00DC4057"/>
    <w:rsid w:val="00DC5BF0"/>
    <w:rsid w:val="00DD1423"/>
    <w:rsid w:val="00DD5A1F"/>
    <w:rsid w:val="00DD61E7"/>
    <w:rsid w:val="00DD62FC"/>
    <w:rsid w:val="00DE4444"/>
    <w:rsid w:val="00DE56E6"/>
    <w:rsid w:val="00DE62D2"/>
    <w:rsid w:val="00DF19DF"/>
    <w:rsid w:val="00DF2C35"/>
    <w:rsid w:val="00DF33E4"/>
    <w:rsid w:val="00DF5395"/>
    <w:rsid w:val="00DF79B9"/>
    <w:rsid w:val="00E0060D"/>
    <w:rsid w:val="00E0096B"/>
    <w:rsid w:val="00E04D30"/>
    <w:rsid w:val="00E13344"/>
    <w:rsid w:val="00E13AA9"/>
    <w:rsid w:val="00E1408D"/>
    <w:rsid w:val="00E15CEA"/>
    <w:rsid w:val="00E2308B"/>
    <w:rsid w:val="00E24738"/>
    <w:rsid w:val="00E2789E"/>
    <w:rsid w:val="00E3316B"/>
    <w:rsid w:val="00E37307"/>
    <w:rsid w:val="00E37E3A"/>
    <w:rsid w:val="00E40A66"/>
    <w:rsid w:val="00E415B6"/>
    <w:rsid w:val="00E43ADC"/>
    <w:rsid w:val="00E43BBF"/>
    <w:rsid w:val="00E44B34"/>
    <w:rsid w:val="00E44F1D"/>
    <w:rsid w:val="00E45DDA"/>
    <w:rsid w:val="00E51D6E"/>
    <w:rsid w:val="00E537A1"/>
    <w:rsid w:val="00E545FB"/>
    <w:rsid w:val="00E60C9A"/>
    <w:rsid w:val="00E62322"/>
    <w:rsid w:val="00E63139"/>
    <w:rsid w:val="00E64B1A"/>
    <w:rsid w:val="00E715A8"/>
    <w:rsid w:val="00E71736"/>
    <w:rsid w:val="00E72F61"/>
    <w:rsid w:val="00E7336D"/>
    <w:rsid w:val="00E7355D"/>
    <w:rsid w:val="00E747C4"/>
    <w:rsid w:val="00E75744"/>
    <w:rsid w:val="00E8103F"/>
    <w:rsid w:val="00E833B8"/>
    <w:rsid w:val="00E87B92"/>
    <w:rsid w:val="00E87D2B"/>
    <w:rsid w:val="00E90921"/>
    <w:rsid w:val="00E91441"/>
    <w:rsid w:val="00E92DAC"/>
    <w:rsid w:val="00E934C8"/>
    <w:rsid w:val="00E94FF1"/>
    <w:rsid w:val="00EA322A"/>
    <w:rsid w:val="00EA5D6B"/>
    <w:rsid w:val="00EB23E0"/>
    <w:rsid w:val="00EB25B2"/>
    <w:rsid w:val="00EB3501"/>
    <w:rsid w:val="00EB619E"/>
    <w:rsid w:val="00EB6AEB"/>
    <w:rsid w:val="00EC1FD8"/>
    <w:rsid w:val="00EC239B"/>
    <w:rsid w:val="00EC4CCD"/>
    <w:rsid w:val="00EC616E"/>
    <w:rsid w:val="00EC63E3"/>
    <w:rsid w:val="00EC7E26"/>
    <w:rsid w:val="00ED32D9"/>
    <w:rsid w:val="00ED38EE"/>
    <w:rsid w:val="00ED5D82"/>
    <w:rsid w:val="00EE1328"/>
    <w:rsid w:val="00EE20F2"/>
    <w:rsid w:val="00EE28A9"/>
    <w:rsid w:val="00EE36D3"/>
    <w:rsid w:val="00EE4438"/>
    <w:rsid w:val="00EF24F9"/>
    <w:rsid w:val="00EF3193"/>
    <w:rsid w:val="00EF34B6"/>
    <w:rsid w:val="00EF707E"/>
    <w:rsid w:val="00F064EB"/>
    <w:rsid w:val="00F11544"/>
    <w:rsid w:val="00F14DF0"/>
    <w:rsid w:val="00F14F6F"/>
    <w:rsid w:val="00F178E2"/>
    <w:rsid w:val="00F22222"/>
    <w:rsid w:val="00F24C9C"/>
    <w:rsid w:val="00F25527"/>
    <w:rsid w:val="00F318D5"/>
    <w:rsid w:val="00F34591"/>
    <w:rsid w:val="00F35025"/>
    <w:rsid w:val="00F41861"/>
    <w:rsid w:val="00F450E3"/>
    <w:rsid w:val="00F46019"/>
    <w:rsid w:val="00F5228E"/>
    <w:rsid w:val="00F53F6E"/>
    <w:rsid w:val="00F54191"/>
    <w:rsid w:val="00F55D8C"/>
    <w:rsid w:val="00F60ECE"/>
    <w:rsid w:val="00F60FF2"/>
    <w:rsid w:val="00F64112"/>
    <w:rsid w:val="00F65978"/>
    <w:rsid w:val="00F6651D"/>
    <w:rsid w:val="00F7068F"/>
    <w:rsid w:val="00F70F59"/>
    <w:rsid w:val="00F72313"/>
    <w:rsid w:val="00F737CF"/>
    <w:rsid w:val="00F761AF"/>
    <w:rsid w:val="00F76BA5"/>
    <w:rsid w:val="00F819E7"/>
    <w:rsid w:val="00F86540"/>
    <w:rsid w:val="00F9078C"/>
    <w:rsid w:val="00F919EE"/>
    <w:rsid w:val="00F94AC4"/>
    <w:rsid w:val="00F9630F"/>
    <w:rsid w:val="00F97CBB"/>
    <w:rsid w:val="00FA19A9"/>
    <w:rsid w:val="00FA6087"/>
    <w:rsid w:val="00FA6170"/>
    <w:rsid w:val="00FA7347"/>
    <w:rsid w:val="00FB0001"/>
    <w:rsid w:val="00FB20A0"/>
    <w:rsid w:val="00FC1908"/>
    <w:rsid w:val="00FC32D3"/>
    <w:rsid w:val="00FC5BAE"/>
    <w:rsid w:val="00FC7CCF"/>
    <w:rsid w:val="00FD2E2D"/>
    <w:rsid w:val="00FD3803"/>
    <w:rsid w:val="00FD3C7E"/>
    <w:rsid w:val="00FD4554"/>
    <w:rsid w:val="00FD6062"/>
    <w:rsid w:val="00FD797E"/>
    <w:rsid w:val="00FF6717"/>
    <w:rsid w:val="00FF73B5"/>
    <w:rsid w:val="0C6E0461"/>
    <w:rsid w:val="18908708"/>
    <w:rsid w:val="1D83AC7A"/>
    <w:rsid w:val="215C5BB3"/>
    <w:rsid w:val="2DF0C1E5"/>
    <w:rsid w:val="2F93A2D6"/>
    <w:rsid w:val="70F604EE"/>
    <w:rsid w:val="71ACA523"/>
    <w:rsid w:val="77A89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4827B"/>
  <w15:chartTrackingRefBased/>
  <w15:docId w15:val="{E4267A3F-1E58-41D0-885F-3936BD7A8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8438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1F60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0C1"/>
  </w:style>
  <w:style w:type="paragraph" w:styleId="Footer">
    <w:name w:val="footer"/>
    <w:basedOn w:val="Normal"/>
    <w:link w:val="FooterChar"/>
    <w:uiPriority w:val="99"/>
    <w:unhideWhenUsed/>
    <w:rsid w:val="001F60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0C1"/>
  </w:style>
  <w:style w:type="character" w:styleId="FollowedHyperlink">
    <w:name w:val="FollowedHyperlink"/>
    <w:basedOn w:val="DefaultParagraphFont"/>
    <w:uiPriority w:val="99"/>
    <w:semiHidden/>
    <w:unhideWhenUsed/>
    <w:rsid w:val="00784387"/>
    <w:rPr>
      <w:color w:val="954F72" w:themeColor="followedHyperlink"/>
      <w:u w:val="single"/>
    </w:rPr>
  </w:style>
  <w:style w:type="paragraph" w:styleId="BalloonText">
    <w:name w:val="Balloon Text"/>
    <w:basedOn w:val="Normal"/>
    <w:link w:val="BalloonTextChar"/>
    <w:uiPriority w:val="99"/>
    <w:semiHidden/>
    <w:unhideWhenUsed/>
    <w:rsid w:val="007843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387"/>
    <w:rPr>
      <w:rFonts w:ascii="Segoe UI" w:hAnsi="Segoe UI" w:cs="Segoe UI"/>
      <w:sz w:val="18"/>
      <w:szCs w:val="18"/>
    </w:rPr>
  </w:style>
  <w:style w:type="character" w:customStyle="1" w:styleId="Heading3Char">
    <w:name w:val="Heading 3 Char"/>
    <w:basedOn w:val="DefaultParagraphFont"/>
    <w:link w:val="Heading3"/>
    <w:uiPriority w:val="9"/>
    <w:rsid w:val="00784387"/>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784387"/>
    <w:rPr>
      <w:sz w:val="16"/>
      <w:szCs w:val="16"/>
    </w:rPr>
  </w:style>
  <w:style w:type="paragraph" w:styleId="CommentText">
    <w:name w:val="annotation text"/>
    <w:basedOn w:val="Normal"/>
    <w:link w:val="CommentTextChar"/>
    <w:uiPriority w:val="99"/>
    <w:semiHidden/>
    <w:unhideWhenUsed/>
    <w:rsid w:val="00784387"/>
    <w:pPr>
      <w:spacing w:line="240" w:lineRule="auto"/>
    </w:pPr>
    <w:rPr>
      <w:sz w:val="20"/>
      <w:szCs w:val="20"/>
    </w:rPr>
  </w:style>
  <w:style w:type="character" w:customStyle="1" w:styleId="CommentTextChar">
    <w:name w:val="Comment Text Char"/>
    <w:basedOn w:val="DefaultParagraphFont"/>
    <w:link w:val="CommentText"/>
    <w:uiPriority w:val="99"/>
    <w:semiHidden/>
    <w:rsid w:val="00784387"/>
    <w:rPr>
      <w:sz w:val="20"/>
      <w:szCs w:val="20"/>
    </w:rPr>
  </w:style>
  <w:style w:type="paragraph" w:styleId="CommentSubject">
    <w:name w:val="annotation subject"/>
    <w:basedOn w:val="CommentText"/>
    <w:next w:val="CommentText"/>
    <w:link w:val="CommentSubjectChar"/>
    <w:uiPriority w:val="99"/>
    <w:semiHidden/>
    <w:unhideWhenUsed/>
    <w:rsid w:val="00784387"/>
    <w:rPr>
      <w:b/>
      <w:bCs/>
    </w:rPr>
  </w:style>
  <w:style w:type="character" w:customStyle="1" w:styleId="CommentSubjectChar">
    <w:name w:val="Comment Subject Char"/>
    <w:basedOn w:val="CommentTextChar"/>
    <w:link w:val="CommentSubject"/>
    <w:uiPriority w:val="99"/>
    <w:semiHidden/>
    <w:rsid w:val="00784387"/>
    <w:rPr>
      <w:b/>
      <w:bCs/>
      <w:sz w:val="20"/>
      <w:szCs w:val="20"/>
    </w:rPr>
  </w:style>
  <w:style w:type="paragraph" w:styleId="NoSpacing">
    <w:name w:val="No Spacing"/>
    <w:link w:val="NoSpacingChar"/>
    <w:uiPriority w:val="1"/>
    <w:qFormat/>
    <w:rsid w:val="000D30B7"/>
    <w:pPr>
      <w:spacing w:after="0" w:line="240" w:lineRule="auto"/>
    </w:pPr>
    <w:rPr>
      <w:rFonts w:eastAsiaTheme="minorEastAsia"/>
      <w:lang w:eastAsia="zh-CN"/>
    </w:rPr>
  </w:style>
  <w:style w:type="character" w:customStyle="1" w:styleId="NoSpacingChar">
    <w:name w:val="No Spacing Char"/>
    <w:basedOn w:val="DefaultParagraphFont"/>
    <w:link w:val="NoSpacing"/>
    <w:uiPriority w:val="1"/>
    <w:rsid w:val="000D30B7"/>
    <w:rPr>
      <w:rFonts w:eastAsiaTheme="minorEastAsia"/>
      <w:lang w:eastAsia="zh-CN"/>
    </w:rPr>
  </w:style>
  <w:style w:type="paragraph" w:styleId="Revision">
    <w:name w:val="Revision"/>
    <w:hidden/>
    <w:uiPriority w:val="99"/>
    <w:semiHidden/>
    <w:rsid w:val="000D30B7"/>
    <w:pPr>
      <w:spacing w:after="0" w:line="240" w:lineRule="auto"/>
    </w:pPr>
  </w:style>
  <w:style w:type="character" w:styleId="UnresolvedMention">
    <w:name w:val="Unresolved Mention"/>
    <w:basedOn w:val="DefaultParagraphFont"/>
    <w:uiPriority w:val="99"/>
    <w:semiHidden/>
    <w:unhideWhenUsed/>
    <w:rsid w:val="00292CCD"/>
    <w:rPr>
      <w:color w:val="605E5C"/>
      <w:shd w:val="clear" w:color="auto" w:fill="E1DFDD"/>
    </w:rPr>
  </w:style>
  <w:style w:type="character" w:styleId="PageNumber">
    <w:name w:val="page number"/>
    <w:basedOn w:val="DefaultParagraphFont"/>
    <w:uiPriority w:val="99"/>
    <w:semiHidden/>
    <w:unhideWhenUsed/>
    <w:rsid w:val="002B21D6"/>
  </w:style>
  <w:style w:type="paragraph" w:styleId="TOCHeading">
    <w:name w:val="TOC Heading"/>
    <w:basedOn w:val="Heading1"/>
    <w:next w:val="Normal"/>
    <w:uiPriority w:val="39"/>
    <w:unhideWhenUsed/>
    <w:qFormat/>
    <w:rsid w:val="00CE3C53"/>
    <w:pPr>
      <w:spacing w:before="480" w:line="276" w:lineRule="auto"/>
      <w:outlineLvl w:val="9"/>
    </w:pPr>
    <w:rPr>
      <w:b/>
      <w:bCs/>
      <w:sz w:val="28"/>
      <w:szCs w:val="28"/>
    </w:rPr>
  </w:style>
  <w:style w:type="paragraph" w:styleId="TOC1">
    <w:name w:val="toc 1"/>
    <w:basedOn w:val="Normal"/>
    <w:next w:val="Normal"/>
    <w:autoRedefine/>
    <w:uiPriority w:val="39"/>
    <w:unhideWhenUsed/>
    <w:rsid w:val="00CE3C53"/>
    <w:pPr>
      <w:spacing w:before="240" w:after="120"/>
    </w:pPr>
    <w:rPr>
      <w:b/>
      <w:bCs/>
      <w:sz w:val="20"/>
      <w:szCs w:val="20"/>
    </w:rPr>
  </w:style>
  <w:style w:type="paragraph" w:styleId="TOC2">
    <w:name w:val="toc 2"/>
    <w:basedOn w:val="Normal"/>
    <w:next w:val="Normal"/>
    <w:autoRedefine/>
    <w:uiPriority w:val="39"/>
    <w:unhideWhenUsed/>
    <w:rsid w:val="00CE3C53"/>
    <w:pPr>
      <w:spacing w:before="120" w:after="0"/>
      <w:ind w:left="220"/>
    </w:pPr>
    <w:rPr>
      <w:i/>
      <w:iCs/>
      <w:sz w:val="20"/>
      <w:szCs w:val="20"/>
    </w:rPr>
  </w:style>
  <w:style w:type="paragraph" w:styleId="TOC3">
    <w:name w:val="toc 3"/>
    <w:basedOn w:val="Normal"/>
    <w:next w:val="Normal"/>
    <w:autoRedefine/>
    <w:uiPriority w:val="39"/>
    <w:unhideWhenUsed/>
    <w:rsid w:val="00CE3C53"/>
    <w:pPr>
      <w:spacing w:after="0"/>
      <w:ind w:left="440"/>
    </w:pPr>
    <w:rPr>
      <w:sz w:val="20"/>
      <w:szCs w:val="20"/>
    </w:rPr>
  </w:style>
  <w:style w:type="paragraph" w:styleId="TOC4">
    <w:name w:val="toc 4"/>
    <w:basedOn w:val="Normal"/>
    <w:next w:val="Normal"/>
    <w:autoRedefine/>
    <w:uiPriority w:val="39"/>
    <w:unhideWhenUsed/>
    <w:rsid w:val="00CE3C53"/>
    <w:pPr>
      <w:spacing w:after="0"/>
      <w:ind w:left="660"/>
    </w:pPr>
    <w:rPr>
      <w:sz w:val="20"/>
      <w:szCs w:val="20"/>
    </w:rPr>
  </w:style>
  <w:style w:type="paragraph" w:styleId="TOC5">
    <w:name w:val="toc 5"/>
    <w:basedOn w:val="Normal"/>
    <w:next w:val="Normal"/>
    <w:autoRedefine/>
    <w:uiPriority w:val="39"/>
    <w:unhideWhenUsed/>
    <w:rsid w:val="00CE3C53"/>
    <w:pPr>
      <w:spacing w:after="0"/>
      <w:ind w:left="880"/>
    </w:pPr>
    <w:rPr>
      <w:sz w:val="20"/>
      <w:szCs w:val="20"/>
    </w:rPr>
  </w:style>
  <w:style w:type="paragraph" w:styleId="TOC6">
    <w:name w:val="toc 6"/>
    <w:basedOn w:val="Normal"/>
    <w:next w:val="Normal"/>
    <w:autoRedefine/>
    <w:uiPriority w:val="39"/>
    <w:unhideWhenUsed/>
    <w:rsid w:val="00CE3C53"/>
    <w:pPr>
      <w:spacing w:after="0"/>
      <w:ind w:left="1100"/>
    </w:pPr>
    <w:rPr>
      <w:sz w:val="20"/>
      <w:szCs w:val="20"/>
    </w:rPr>
  </w:style>
  <w:style w:type="paragraph" w:styleId="TOC7">
    <w:name w:val="toc 7"/>
    <w:basedOn w:val="Normal"/>
    <w:next w:val="Normal"/>
    <w:autoRedefine/>
    <w:uiPriority w:val="39"/>
    <w:unhideWhenUsed/>
    <w:rsid w:val="00CE3C53"/>
    <w:pPr>
      <w:spacing w:after="0"/>
      <w:ind w:left="1320"/>
    </w:pPr>
    <w:rPr>
      <w:sz w:val="20"/>
      <w:szCs w:val="20"/>
    </w:rPr>
  </w:style>
  <w:style w:type="paragraph" w:styleId="TOC8">
    <w:name w:val="toc 8"/>
    <w:basedOn w:val="Normal"/>
    <w:next w:val="Normal"/>
    <w:autoRedefine/>
    <w:uiPriority w:val="39"/>
    <w:unhideWhenUsed/>
    <w:rsid w:val="00CE3C53"/>
    <w:pPr>
      <w:spacing w:after="0"/>
      <w:ind w:left="1540"/>
    </w:pPr>
    <w:rPr>
      <w:sz w:val="20"/>
      <w:szCs w:val="20"/>
    </w:rPr>
  </w:style>
  <w:style w:type="paragraph" w:styleId="TOC9">
    <w:name w:val="toc 9"/>
    <w:basedOn w:val="Normal"/>
    <w:next w:val="Normal"/>
    <w:autoRedefine/>
    <w:uiPriority w:val="39"/>
    <w:unhideWhenUsed/>
    <w:rsid w:val="00CE3C53"/>
    <w:pPr>
      <w:spacing w:after="0"/>
      <w:ind w:left="1760"/>
    </w:pPr>
    <w:rPr>
      <w:sz w:val="20"/>
      <w:szCs w:val="20"/>
    </w:rPr>
  </w:style>
  <w:style w:type="table" w:styleId="TableGrid">
    <w:name w:val="Table Grid"/>
    <w:basedOn w:val="TableNormal"/>
    <w:uiPriority w:val="39"/>
    <w:rsid w:val="00D86A2E"/>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727645">
      <w:bodyDiv w:val="1"/>
      <w:marLeft w:val="0"/>
      <w:marRight w:val="0"/>
      <w:marTop w:val="0"/>
      <w:marBottom w:val="0"/>
      <w:divBdr>
        <w:top w:val="none" w:sz="0" w:space="0" w:color="auto"/>
        <w:left w:val="none" w:sz="0" w:space="0" w:color="auto"/>
        <w:bottom w:val="none" w:sz="0" w:space="0" w:color="auto"/>
        <w:right w:val="none" w:sz="0" w:space="0" w:color="auto"/>
      </w:divBdr>
    </w:div>
    <w:div w:id="126596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rts.ac.uk/__data/assets/pdf_file/0005/233087/IM18-Open-Access-Policy.pdf" TargetMode="External"/><Relationship Id="rId18" Type="http://schemas.openxmlformats.org/officeDocument/2006/relationships/hyperlink" Target="https://uhra.herts.ac.uk/" TargetMode="External"/><Relationship Id="rId26" Type="http://schemas.openxmlformats.org/officeDocument/2006/relationships/footer" Target="footer4.xml"/><Relationship Id="rId39" Type="http://schemas.openxmlformats.org/officeDocument/2006/relationships/fontTable" Target="fontTable.xml"/><Relationship Id="rId21" Type="http://schemas.openxmlformats.org/officeDocument/2006/relationships/hyperlink" Target="https://herts365.sharepoint.com/sites/rsc/SitePages/RSC-Team-Manual.aspx" TargetMode="External"/><Relationship Id="rId34" Type="http://schemas.openxmlformats.org/officeDocument/2006/relationships/hyperlink" Target="http://researchprofiles.herts.ac.uk/portal/en/"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herts365.sharepoint.com/sites/UHResearch/SitePages/Open-Access-Funding.aspx" TargetMode="External"/><Relationship Id="rId25" Type="http://schemas.openxmlformats.org/officeDocument/2006/relationships/hyperlink" Target="https://uhra.herts.ac.uk/handle/2299/17253" TargetMode="External"/><Relationship Id="rId33" Type="http://schemas.openxmlformats.org/officeDocument/2006/relationships/hyperlink" Target="https://herts365.sharepoint.com/sites/rsc/SitePages/RSC-Team-Manual.aspx" TargetMode="External"/><Relationship Id="rId38"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uhra.herts.ac.uk/" TargetMode="External"/><Relationship Id="rId20" Type="http://schemas.openxmlformats.org/officeDocument/2006/relationships/image" Target="media/image1.png"/><Relationship Id="rId29" Type="http://schemas.openxmlformats.org/officeDocument/2006/relationships/hyperlink" Target="http://researchprofiles.herts.ac.uk/port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herts365.sharepoint.com/sites/UHResearch/SitePages/Scholarly-Communications.aspx" TargetMode="External"/><Relationship Id="rId32" Type="http://schemas.openxmlformats.org/officeDocument/2006/relationships/hyperlink" Target="https://doc.pure.elsevier.com/display/PUREUK/REF+Open+Access+compliance+details" TargetMode="External"/><Relationship Id="rId37" Type="http://schemas.openxmlformats.org/officeDocument/2006/relationships/hyperlink" Target="https://uhra.herts.ac.uk/handle/2299/17253"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esearchprofiles.herts.ac.uk/portal/" TargetMode="External"/><Relationship Id="rId23" Type="http://schemas.openxmlformats.org/officeDocument/2006/relationships/hyperlink" Target="https://uhra.herts.ac.uk/handle/2299/23116" TargetMode="External"/><Relationship Id="rId28" Type="http://schemas.openxmlformats.org/officeDocument/2006/relationships/hyperlink" Target="https://www.research.herts.ac.uk/" TargetMode="External"/><Relationship Id="rId36" Type="http://schemas.openxmlformats.org/officeDocument/2006/relationships/hyperlink" Target="http://irus.mimas.ac.uk" TargetMode="External"/><Relationship Id="rId10" Type="http://schemas.openxmlformats.org/officeDocument/2006/relationships/footer" Target="footer2.xml"/><Relationship Id="rId19" Type="http://schemas.openxmlformats.org/officeDocument/2006/relationships/hyperlink" Target="http://researchprofiles.herts.ac.uk/portal/" TargetMode="External"/><Relationship Id="rId31" Type="http://schemas.openxmlformats.org/officeDocument/2006/relationships/hyperlink" Target="http://researchprofiles.herts.ac.uk/porta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research.herts.ac.uk/" TargetMode="External"/><Relationship Id="rId22" Type="http://schemas.openxmlformats.org/officeDocument/2006/relationships/hyperlink" Target="https://herts365.sharepoint.com/sites/UHResearch/SitePages/Training.aspx" TargetMode="External"/><Relationship Id="rId27" Type="http://schemas.openxmlformats.org/officeDocument/2006/relationships/hyperlink" Target="https://www.herts.ac.uk/__data/assets/pdf_file/0005/233087/IM18-Open-Access-Policy.pdf" TargetMode="External"/><Relationship Id="rId30" Type="http://schemas.openxmlformats.org/officeDocument/2006/relationships/hyperlink" Target="https://uhra.herts.ac.uk/" TargetMode="External"/><Relationship Id="rId35" Type="http://schemas.openxmlformats.org/officeDocument/2006/relationships/hyperlink" Target="https://uhra.herts.ac.uk/" TargetMode="Externa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95512-BB63-4FC6-87A8-EC11B37F8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4678</Words>
  <Characters>26666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Worthington</dc:creator>
  <cp:keywords/>
  <dc:description/>
  <cp:lastModifiedBy>Emily Keens</cp:lastModifiedBy>
  <cp:revision>2</cp:revision>
  <cp:lastPrinted>2021-02-25T09:16:00Z</cp:lastPrinted>
  <dcterms:created xsi:type="dcterms:W3CDTF">2021-03-24T14:44:00Z</dcterms:created>
  <dcterms:modified xsi:type="dcterms:W3CDTF">2021-03-24T14:44:00Z</dcterms:modified>
</cp:coreProperties>
</file>